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67CD6">
      <w:pPr>
        <w:spacing w:before="102" w:after="102"/>
      </w:pPr>
      <w:r>
        <w:rPr>
          <w:rFonts w:ascii="Times New Roman" w:hAnsi="Times New Roman"/>
        </w:rPr>
        <mc:AlternateContent>
          <mc:Choice Requires="wps">
            <w:drawing>
              <wp:anchor distT="0" distB="0" distL="114300" distR="114300" simplePos="0" relativeHeight="251666432" behindDoc="1" locked="0" layoutInCell="1" allowOverlap="1">
                <wp:simplePos x="0" y="0"/>
                <wp:positionH relativeFrom="column">
                  <wp:posOffset>4946650</wp:posOffset>
                </wp:positionH>
                <wp:positionV relativeFrom="paragraph">
                  <wp:posOffset>8719820</wp:posOffset>
                </wp:positionV>
                <wp:extent cx="1143000" cy="228600"/>
                <wp:effectExtent l="0" t="0" r="0" b="0"/>
                <wp:wrapNone/>
                <wp:docPr id="60211099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3B7BECB9">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89.5pt;margin-top:686.6pt;height:18pt;width:90pt;z-index:-251650048;mso-width-relative:page;mso-height-relative:page;" fillcolor="#FFFFFF" filled="t" stroked="f" coordsize="21600,21600" o:gfxdata="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G4/qdkAAAANAQAADwAA&#10;AAAAAAABACAAAAAiAAAAZHJzL2Rvd25yZXYueG1sUEsBAhQAFAAAAAgAh07iQDgYBJ4VAgAAMwQA&#10;AA4AAAAAAAAAAQAgAAAAKAEAAGRycy9lMm9Eb2MueG1sUEsFBgAAAAAGAAYAWQEAAK8FAAAAAA==&#10;">
                <v:fill on="t" focussize="0,0"/>
                <v:stroke on="f"/>
                <v:imagedata o:title=""/>
                <o:lock v:ext="edit" aspectratio="f"/>
                <v:textbox>
                  <w:txbxContent>
                    <w:p w14:paraId="3B7BECB9">
                      <w:pPr>
                        <w:jc w:val="center"/>
                      </w:pPr>
                    </w:p>
                  </w:txbxContent>
                </v:textbox>
              </v:rect>
            </w:pict>
          </mc:Fallback>
        </mc:AlternateContent>
      </w:r>
      <w:r>
        <mc:AlternateContent>
          <mc:Choice Requires="wps">
            <w:drawing>
              <wp:anchor distT="0" distB="0" distL="114300" distR="114300" simplePos="0" relativeHeight="251667456" behindDoc="0" locked="1" layoutInCell="1" allowOverlap="1">
                <wp:simplePos x="0" y="0"/>
                <wp:positionH relativeFrom="column">
                  <wp:posOffset>-2540</wp:posOffset>
                </wp:positionH>
                <wp:positionV relativeFrom="page">
                  <wp:posOffset>9255760</wp:posOffset>
                </wp:positionV>
                <wp:extent cx="6120130" cy="0"/>
                <wp:effectExtent l="0" t="0" r="0" b="0"/>
                <wp:wrapNone/>
                <wp:docPr id="846999784"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pt;margin-top:728.8pt;height:0pt;width:481.9pt;mso-position-vertical-relative:page;z-index:251667456;mso-width-relative:page;mso-height-relative:page;" filled="f" stroked="t" coordsize="21600,21600" o:gfxdata="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LgZVNYAAAALAQAADwAAAAAAAAABACAAAAAiAAAA&#10;ZHJzL2Rvd25yZXYueG1sUEsBAhQAFAAAAAgAh07iQGm2HOHQAQAAqAMAAA4AAAAAAAAAAQAgAAAA&#10;JQEAAGRycy9lMm9Eb2MueG1sUEsFBgAAAAAGAAYAWQEAAGcFA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-1905</wp:posOffset>
                </wp:positionH>
                <wp:positionV relativeFrom="page">
                  <wp:posOffset>2461895</wp:posOffset>
                </wp:positionV>
                <wp:extent cx="6120130" cy="0"/>
                <wp:effectExtent l="0" t="0" r="0" b="0"/>
                <wp:wrapNone/>
                <wp:docPr id="1258663037"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15pt;margin-top:193.85pt;height:0pt;width:481.9pt;mso-position-vertical-relative:page;z-index:251665408;mso-width-relative:page;mso-height-relative:page;" filled="f" stroked="t" coordsize="21600,21600" o:gfxdata="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scpm1wAAAAkBAAAPAAAAAAAAAAEAIAAAACIA&#10;AABkcnMvZG93bnJldi54bWxQSwECFAAUAAAACACHTuJAdwJP4tEBAACpAwAADgAAAAAAAAABACAA&#10;AAAmAQAAZHJzL2Uyb0RvYy54bWxQSwUGAAAAAAYABgBZAQAAaQUAAAAA&#10;">
                <v:fill on="f" focussize="0,0"/>
                <v:stroke color="#000000" joinstyle="round"/>
                <v:imagedata o:title=""/>
                <o:lock v:ext="edit" aspectratio="f"/>
                <w10:anchorlock/>
              </v:line>
            </w:pict>
          </mc:Fallback>
        </mc:AlternateContent>
      </w:r>
    </w:p>
    <w:p w14:paraId="2A847737">
      <w:pPr>
        <w:pStyle w:val="47"/>
      </w:pPr>
      <w:bookmarkStart w:id="0" w:name="_Toc149672617"/>
      <w:bookmarkStart w:id="1" w:name="_Toc149672391"/>
      <w:r>
        <w:rPr>
          <w:rFonts w:ascii="Times New Roman"/>
        </w:rPr>
        <w:t>ICS</w:t>
      </w:r>
      <w:r>
        <w:t> </w:t>
      </w:r>
      <w:r>
        <w:rPr>
          <w:rFonts w:hint="eastAsia"/>
        </w:rPr>
        <w:t>93.040</w:t>
      </w:r>
    </w:p>
    <w:p w14:paraId="7D2155F9">
      <w:pPr>
        <w:pStyle w:val="47"/>
      </w:pPr>
      <w:r>
        <w:rPr>
          <w:rFonts w:hint="eastAsia"/>
        </w:rPr>
        <w:t>CCS P 28</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3BAA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7906FEE4">
            <w:pPr>
              <w:pStyle w:val="47"/>
            </w:pPr>
          </w:p>
        </w:tc>
      </w:tr>
    </w:tbl>
    <w:p w14:paraId="34D2BBE4">
      <w:pPr>
        <w:pStyle w:val="48"/>
        <w:rPr>
          <w:rFonts w:ascii="Times New Roman" w:hAnsi="Times New Roman"/>
        </w:rPr>
      </w:pPr>
      <w:r>
        <w:rPr>
          <w:rFonts w:ascii="Times New Roman" w:hAnsi="Times New Roman"/>
        </w:rPr>
        <w:t>DB</w:t>
      </w:r>
      <w:r>
        <w:rPr>
          <w:rFonts w:ascii="Times New Roman" w:hAnsi="Times New Roman"/>
        </w:rPr>
        <w:fldChar w:fldCharType="begin">
          <w:ffData>
            <w:name w:val="c3"/>
            <w:enabled/>
            <w:calcOnExit w:val="0"/>
            <w:entryMacro w:val="ShowHelp16"/>
            <w:textInput>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42</w:t>
      </w:r>
      <w:r>
        <w:rPr>
          <w:rFonts w:ascii="Times New Roman" w:hAnsi="Times New Roman"/>
        </w:rPr>
        <w:fldChar w:fldCharType="end"/>
      </w:r>
    </w:p>
    <w:p w14:paraId="327D29F2">
      <w:pPr>
        <w:pStyle w:val="31"/>
        <w:rPr>
          <w:rFonts w:hint="eastAsia"/>
        </w:rPr>
      </w:pPr>
      <w:r>
        <w:fldChar w:fldCharType="begin">
          <w:ffData>
            <w:name w:val="c4"/>
            <w:enabled/>
            <w:calcOnExit w:val="0"/>
            <w:entryMacro w:val="showhelp12"/>
            <w:textInput/>
          </w:ffData>
        </w:fldChar>
      </w:r>
      <w:r>
        <w:instrText xml:space="preserve"> FORMTEXT </w:instrText>
      </w:r>
      <w:r>
        <w:fldChar w:fldCharType="separate"/>
      </w:r>
      <w:r>
        <w:rPr>
          <w:rFonts w:hint="eastAsia"/>
        </w:rPr>
        <w:t>湖北省</w:t>
      </w:r>
      <w:r>
        <w:fldChar w:fldCharType="end"/>
      </w:r>
      <w:r>
        <w:rPr>
          <w:rFonts w:hint="eastAsia"/>
        </w:rPr>
        <w:t>地方标准</w:t>
      </w:r>
    </w:p>
    <w:p w14:paraId="4B5D84DD">
      <w:pPr>
        <w:pStyle w:val="32"/>
        <w:framePr w:h="952" w:hRule="exact"/>
        <w:rPr>
          <w:rFonts w:hint="eastAsia" w:hAnsi="黑体"/>
        </w:rPr>
      </w:pPr>
      <w:r>
        <w:rPr>
          <w:rFonts w:hAnsi="黑体"/>
        </w:rPr>
        <w:t>DB</w:t>
      </w:r>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42</w:t>
      </w:r>
      <w:r>
        <w:rPr>
          <w:rFonts w:hAnsi="黑体"/>
        </w:rPr>
        <w:fldChar w:fldCharType="end"/>
      </w:r>
      <w:r>
        <w:rPr>
          <w:rFonts w:hint="eastAsia" w:hAnsi="黑体"/>
        </w:rPr>
        <w:t>/</w:t>
      </w:r>
      <w:r>
        <w:rPr>
          <w:rFonts w:hAnsi="黑体"/>
        </w:rPr>
        <w:fldChar w:fldCharType="begin">
          <w:ffData>
            <w:name w:val="StdNo1"/>
            <w:enabled/>
            <w:calcOnExit w:val="0"/>
            <w:textInput>
              <w:default w:val="XXXXX"/>
            </w:textInput>
          </w:ffData>
        </w:fldChar>
      </w:r>
      <w:bookmarkStart w:id="2" w:name="StdNo1"/>
      <w:r>
        <w:rPr>
          <w:rFonts w:hAnsi="黑体"/>
        </w:rPr>
        <w:instrText xml:space="preserve"> FORMTEXT </w:instrText>
      </w:r>
      <w:r>
        <w:rPr>
          <w:rFonts w:hAnsi="黑体"/>
        </w:rPr>
        <w:fldChar w:fldCharType="separate"/>
      </w:r>
      <w:r>
        <w:rPr>
          <w:rFonts w:hAnsi="黑体"/>
        </w:rPr>
        <w:t>T</w:t>
      </w:r>
      <w:r>
        <w:rPr>
          <w:rFonts w:hint="eastAsia" w:hAnsi="黑体"/>
        </w:rPr>
        <w:t xml:space="preserve"> XXXX</w:t>
      </w:r>
      <w:r>
        <w:rPr>
          <w:rFonts w:hAnsi="黑体"/>
        </w:rPr>
        <w:fldChar w:fldCharType="end"/>
      </w:r>
      <w:bookmarkEnd w:id="2"/>
      <w:r>
        <w:rPr>
          <w:rFonts w:hAnsi="黑体"/>
        </w:rPr>
        <w:t>—</w:t>
      </w:r>
      <w:r>
        <w:rPr>
          <w:rFonts w:hAnsi="黑体"/>
        </w:rPr>
        <w:fldChar w:fldCharType="begin">
          <w:ffData>
            <w:name w:val="StdNo2"/>
            <w:enabled/>
            <w:calcOnExit w:val="0"/>
            <w:textInput>
              <w:default w:val="XXXX"/>
              <w:maxLength w:val="4"/>
            </w:textInput>
          </w:ffData>
        </w:fldChar>
      </w:r>
      <w:bookmarkStart w:id="3" w:name="StdNo2"/>
      <w:r>
        <w:rPr>
          <w:rFonts w:hAnsi="黑体"/>
        </w:rPr>
        <w:instrText xml:space="preserve"> FORMTEXT </w:instrText>
      </w:r>
      <w:r>
        <w:rPr>
          <w:rFonts w:hAnsi="黑体"/>
        </w:rPr>
        <w:fldChar w:fldCharType="separate"/>
      </w:r>
      <w:r>
        <w:rPr>
          <w:rFonts w:hint="eastAsia" w:hAnsi="黑体"/>
        </w:rPr>
        <w:t>2025</w:t>
      </w:r>
      <w:r>
        <w:rPr>
          <w:rFonts w:hAnsi="黑体"/>
        </w:rPr>
        <w:fldChar w:fldCharType="end"/>
      </w:r>
      <w:bookmarkEnd w:id="3"/>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FB1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71B747A">
            <w:pPr>
              <w:pStyle w:val="32"/>
              <w:framePr w:h="952" w:hRule="exact"/>
              <w:ind w:right="560"/>
              <w:jc w:val="both"/>
              <w:rPr>
                <w:rFonts w:ascii="Times New Roman" w:hAnsi="Times New Roman"/>
              </w:rPr>
            </w:pPr>
            <w:r>
              <w:rPr>
                <w:rFonts w:ascii="Times New Roman" w:hAnsi="Times New Roman"/>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64790447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FB373CE">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Dyy9YAAAAIAQAADwAAAAAA&#10;AAABACAAAAAiAAAAZHJzL2Rvd25yZXYueG1sUEsBAhQAFAAAAAgAh07iQEiC5sYVAgAAMwQAAA4A&#10;AAAAAAAAAQAgAAAAJQEAAGRycy9lMm9Eb2MueG1sUEsFBgAAAAAGAAYAWQEAAKwFAAAAAA==&#10;">
                      <v:fill on="t" focussize="0,0"/>
                      <v:stroke on="f"/>
                      <v:imagedata o:title=""/>
                      <o:lock v:ext="edit" aspectratio="f"/>
                      <v:textbox>
                        <w:txbxContent>
                          <w:p w14:paraId="2FB373CE">
                            <w:pPr>
                              <w:jc w:val="center"/>
                            </w:pPr>
                          </w:p>
                        </w:txbxContent>
                      </v:textbox>
                    </v:rect>
                  </w:pict>
                </mc:Fallback>
              </mc:AlternateContent>
            </w:r>
          </w:p>
        </w:tc>
      </w:tr>
    </w:tbl>
    <w:p w14:paraId="29A88C48">
      <w:pPr>
        <w:pStyle w:val="32"/>
        <w:framePr w:h="952" w:hRule="exact"/>
      </w:pPr>
    </w:p>
    <w:p w14:paraId="3C4C9F25">
      <w:pPr>
        <w:pStyle w:val="32"/>
        <w:framePr w:h="952" w:hRule="exact"/>
      </w:pPr>
    </w:p>
    <w:p w14:paraId="7BBEB95E">
      <w:pPr>
        <w:pStyle w:val="33"/>
        <w:framePr w:h="6768" w:hRule="exact" w:x="1383" w:y="7117"/>
        <w:spacing w:line="240" w:lineRule="auto"/>
        <w:rPr>
          <w:rFonts w:hAnsi="Times New Roman"/>
        </w:rPr>
      </w:pPr>
      <w:r>
        <w:rPr>
          <w:rFonts w:hint="eastAsia" w:hAnsi="Times New Roman"/>
        </w:rPr>
        <w:t>大节段钢桁梁数字化拼装技术规程</w:t>
      </w:r>
    </w:p>
    <w:p w14:paraId="3AED7662">
      <w:pPr>
        <w:pStyle w:val="34"/>
      </w:pPr>
    </w:p>
    <w:p w14:paraId="0CCADF18">
      <w:pPr>
        <w:pStyle w:val="35"/>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3B9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BFBC265">
            <w:pPr>
              <w:pStyle w:val="36"/>
            </w:pPr>
            <w:r>
              <w:rPr>
                <w:highlight w:val="red"/>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1905" t="3175" r="0" b="0"/>
                      <wp:wrapNone/>
                      <wp:docPr id="92257222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7C0F3ADC">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JrpLVAAAACgEAAA8AAAAAAAAA&#10;AQAgAAAAIgAAAGRycy9kb3ducmV2LnhtbFBLAQIUABQAAAAIAIdO4kCfDyFqFAIAADMEAAAOAAAA&#10;AAAAAAEAIAAAACQBAABkcnMvZTJvRG9jLnhtbFBLBQYAAAAABgAGAFkBAACqBQAAAAA=&#10;">
                      <v:fill on="t" focussize="0,0"/>
                      <v:stroke on="f"/>
                      <v:imagedata o:title=""/>
                      <o:lock v:ext="edit" aspectratio="f"/>
                      <v:textbox>
                        <w:txbxContent>
                          <w:p w14:paraId="7C0F3ADC">
                            <w:pPr>
                              <w:jc w:val="center"/>
                            </w:pPr>
                          </w:p>
                        </w:txbxContent>
                      </v:textbox>
                      <w10:anchorlock/>
                    </v:rect>
                  </w:pict>
                </mc:Fallback>
              </mc:AlternateContent>
            </w:r>
          </w:p>
        </w:tc>
      </w:tr>
      <w:tr w14:paraId="08F3E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E6A03C6">
            <w:pPr>
              <w:pStyle w:val="37"/>
            </w:pPr>
          </w:p>
        </w:tc>
      </w:tr>
    </w:tbl>
    <w:p w14:paraId="3BCFA0AC">
      <w:pPr>
        <w:pStyle w:val="38"/>
        <w:framePr w:hAnchor="page" w:x="1366" w:y="14116"/>
      </w:pPr>
      <w:r>
        <w:rPr>
          <w:rFonts w:hint="eastAsia" w:ascii="黑体"/>
        </w:rPr>
        <w:t>20XX</w:t>
      </w:r>
      <w:r>
        <w:t xml:space="preserve"> </w:t>
      </w:r>
      <w:r>
        <w:rPr>
          <w:rFonts w:ascii="黑体"/>
        </w:rPr>
        <w:t>-</w:t>
      </w:r>
      <w:r>
        <w:t xml:space="preserve"> </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1647111868"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KyptRbQAQAAqQMAAA4AAAAAAAAAAQAgAAAA&#10;JQEAAGRycy9lMm9Eb2MueG1sUEsFBgAAAAAGAAYAWQEAAGcFAAAAAA==&#10;">
                <v:fill on="f" focussize="0,0"/>
                <v:stroke color="#000000" joinstyle="round"/>
                <v:imagedata o:title=""/>
                <o:lock v:ext="edit" aspectratio="f"/>
                <w10:anchorlock/>
              </v:line>
            </w:pict>
          </mc:Fallback>
        </mc:AlternateContent>
      </w:r>
    </w:p>
    <w:p w14:paraId="30985372">
      <w:pPr>
        <w:pStyle w:val="40"/>
        <w:framePr w:hAnchor="page" w:x="7006"/>
        <w:ind w:right="140"/>
      </w:pPr>
      <w:r>
        <w:rPr>
          <w:rFonts w:hint="eastAsia" w:ascii="黑体"/>
        </w:rPr>
        <w:t>20XX</w:t>
      </w:r>
      <w:r>
        <w:rPr>
          <w:rFonts w:ascii="黑体"/>
        </w:rPr>
        <w:t>-</w:t>
      </w:r>
      <w:r>
        <w:t xml:space="preserve"> </w:t>
      </w:r>
      <w:r>
        <w:rPr>
          <w:rFonts w:hint="eastAsia" w:ascii="黑体"/>
        </w:rPr>
        <w:t>XX</w:t>
      </w:r>
      <w:r>
        <w:rPr>
          <w:rFonts w:ascii="黑体"/>
        </w:rPr>
        <w:t>-</w:t>
      </w:r>
      <w:r>
        <w:rPr>
          <w:rFonts w:hint="eastAsia" w:ascii="黑体"/>
        </w:rPr>
        <w:t>XX</w:t>
      </w:r>
      <w:r>
        <w:rPr>
          <w:rFonts w:hint="eastAsia"/>
        </w:rPr>
        <w:t>实施</w:t>
      </w:r>
    </w:p>
    <w:p w14:paraId="12E95D09">
      <w:pPr>
        <w:pStyle w:val="42"/>
        <w:framePr w:w="8858" w:h="1030" w:hRule="exact" w:wrap="notBeside" w:x="1633" w:y="14891"/>
        <w:spacing w:line="480" w:lineRule="exact"/>
        <w:rPr>
          <w:szCs w:val="22"/>
        </w:rPr>
      </w:pPr>
      <w:r>
        <w:rPr>
          <w:rFonts w:hint="eastAsia"/>
        </w:rPr>
        <w:t>湖北省住房</w:t>
      </w:r>
      <w:r>
        <w:rPr>
          <w:rFonts w:hint="eastAsia"/>
          <w:lang w:eastAsia="zh-CN"/>
        </w:rPr>
        <w:t>和</w:t>
      </w:r>
      <w:r>
        <w:rPr>
          <w:rFonts w:hint="eastAsia"/>
        </w:rPr>
        <w:t>城乡建设厅</w:t>
      </w:r>
    </w:p>
    <w:p w14:paraId="47DD7EA6">
      <w:pPr>
        <w:pStyle w:val="42"/>
        <w:framePr w:w="8858" w:h="1030" w:hRule="exact" w:wrap="notBeside" w:x="1633" w:y="14891"/>
        <w:spacing w:line="480" w:lineRule="exact"/>
        <w:rPr>
          <w:spacing w:val="39"/>
          <w:szCs w:val="22"/>
        </w:rPr>
      </w:pPr>
      <w:r>
        <w:rPr>
          <w:spacing w:val="39"/>
        </w:rPr>
        <w:fldChar w:fldCharType="begin">
          <w:ffData>
            <w:name w:val="fm"/>
            <w:enabled/>
            <w:calcOnExit w:val="0"/>
            <w:textInput/>
          </w:ffData>
        </w:fldChar>
      </w:r>
      <w:bookmarkStart w:id="4" w:name="fm"/>
      <w:r>
        <w:rPr>
          <w:spacing w:val="39"/>
        </w:rPr>
        <w:instrText xml:space="preserve"> FORMTEXT </w:instrText>
      </w:r>
      <w:r>
        <w:rPr>
          <w:spacing w:val="39"/>
        </w:rPr>
        <w:fldChar w:fldCharType="separate"/>
      </w:r>
      <w:r>
        <w:rPr>
          <w:rFonts w:hint="eastAsia"/>
          <w:spacing w:val="39"/>
        </w:rPr>
        <w:t>湖北省市场监督管理局</w:t>
      </w:r>
      <w:r>
        <w:rPr>
          <w:spacing w:val="39"/>
        </w:rPr>
        <w:fldChar w:fldCharType="end"/>
      </w:r>
      <w:bookmarkEnd w:id="4"/>
    </w:p>
    <w:p w14:paraId="6903A609">
      <w:pPr>
        <w:pStyle w:val="42"/>
        <w:framePr w:w="8858" w:h="1030" w:hRule="exact" w:wrap="notBeside" w:x="1633" w:y="14891"/>
        <w:spacing w:line="480" w:lineRule="exact"/>
      </w:pPr>
      <w:r>
        <w:rPr>
          <w:rFonts w:hint="eastAsia"/>
        </w:rPr>
        <w:t>湖北省住房与城乡建设厅</w:t>
      </w:r>
    </w:p>
    <w:p w14:paraId="2A223F5F">
      <w:pPr>
        <w:pStyle w:val="34"/>
      </w:pPr>
      <w:r>
        <w:t>Technical specification for digital assembly of large section steel truss bridge</w:t>
      </w:r>
    </w:p>
    <w:p w14:paraId="17CC5371">
      <w:pPr>
        <w:pStyle w:val="34"/>
      </w:pPr>
      <w:r>
        <w:rPr>
          <w:rFonts w:hint="eastAsia"/>
        </w:rPr>
        <w:t>（征求意见稿）</w:t>
      </w:r>
    </w:p>
    <w:p w14:paraId="2CB389AA">
      <w:pPr>
        <w:pStyle w:val="42"/>
        <w:framePr w:w="4696" w:h="523" w:hRule="exact" w:wrap="notBeside" w:x="6997" w:y="15161"/>
        <w:spacing w:line="480" w:lineRule="exact"/>
        <w:sectPr>
          <w:headerReference r:id="rId3" w:type="even"/>
          <w:footerReference r:id="rId4" w:type="even"/>
          <w:pgSz w:w="11906" w:h="16838"/>
          <w:pgMar w:top="567" w:right="850" w:bottom="1134" w:left="1418" w:header="0" w:footer="0" w:gutter="0"/>
          <w:pgNumType w:fmt="upperRoman"/>
          <w:cols w:space="720" w:num="1"/>
          <w:docGrid w:type="lines" w:linePitch="312" w:charSpace="0"/>
        </w:sectPr>
      </w:pPr>
      <w:r>
        <w:rPr>
          <w:rStyle w:val="46"/>
          <w:rFonts w:hint="eastAsia"/>
        </w:rPr>
        <w:t xml:space="preserve">  联合发布</w:t>
      </w: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2286635</wp:posOffset>
                </wp:positionV>
                <wp:extent cx="6120130" cy="0"/>
                <wp:effectExtent l="12700" t="6985" r="10795" b="12065"/>
                <wp:wrapNone/>
                <wp:docPr id="829311186" name="Line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05pt;margin-top:180.05pt;height:0pt;width:481.9pt;z-index:251664384;mso-width-relative:page;mso-height-relative:page;" filled="f" stroked="t" coordsize="21600,21600" o:gfxdata="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zZj8tYAAAAJAQAADwAAAAAAAAABACAAAAAiAAAA&#10;ZHJzL2Rvd25yZXYueG1sUEsBAhQAFAAAAAgAh07iQJjnc9vQAQAAqAMAAA4AAAAAAAAAAQAgAAAA&#10;JQEAAGRycy9lMm9Eb2MueG1sUEsFBgAAAAAGAAYAWQEAAGcFAAAAAA==&#10;">
                <v:fill on="f" focussize="0,0"/>
                <v:stroke color="#000000" joinstyle="round"/>
                <v:imagedata o:title=""/>
                <o:lock v:ext="edit" aspectratio="f"/>
              </v:line>
            </w:pict>
          </mc:Fallback>
        </mc:AlternateContent>
      </w:r>
    </w:p>
    <w:bookmarkEnd w:id="0"/>
    <w:bookmarkEnd w:id="1"/>
    <w:sdt>
      <w:sdtPr>
        <w:rPr>
          <w:rFonts w:asciiTheme="minorHAnsi" w:hAnsiTheme="minorHAnsi" w:eastAsiaTheme="minorEastAsia"/>
          <w:sz w:val="21"/>
          <w:szCs w:val="22"/>
          <w:lang w:val="zh-CN"/>
        </w:rPr>
        <w:id w:val="-1015608904"/>
        <w:docPartObj>
          <w:docPartGallery w:val="Table of Contents"/>
          <w:docPartUnique/>
        </w:docPartObj>
      </w:sdtPr>
      <w:sdtEndPr>
        <w:rPr>
          <w:rFonts w:asciiTheme="minorHAnsi" w:hAnsiTheme="minorHAnsi" w:eastAsiaTheme="minorEastAsia"/>
          <w:b/>
          <w:bCs/>
          <w:sz w:val="21"/>
          <w:szCs w:val="22"/>
          <w:lang w:val="zh-CN"/>
        </w:rPr>
      </w:sdtEndPr>
      <w:sdtContent>
        <w:p w14:paraId="5DF5B518">
          <w:pPr>
            <w:pStyle w:val="90"/>
            <w:spacing w:before="79" w:after="79"/>
            <w:ind w:firstLine="210"/>
            <w:rPr>
              <w:rFonts w:hint="eastAsia" w:cs="Times New Roman"/>
            </w:rPr>
          </w:pPr>
          <w:bookmarkStart w:id="5" w:name="_Toc208327407"/>
          <w:bookmarkStart w:id="6" w:name="_Toc8565_WPSOffice_Level1"/>
          <w:bookmarkStart w:id="7" w:name="_Toc8296"/>
          <w:r>
            <w:rPr>
              <w:rFonts w:hint="eastAsia" w:cs="Times New Roman"/>
            </w:rPr>
            <w:t>目   次</w:t>
          </w:r>
          <w:bookmarkEnd w:id="5"/>
        </w:p>
        <w:p w14:paraId="6403E249">
          <w:pPr>
            <w:pStyle w:val="19"/>
            <w:tabs>
              <w:tab w:val="right" w:leader="dot" w:pos="8295"/>
            </w:tabs>
            <w:ind w:firstLine="181"/>
            <w:rPr>
              <w:b/>
              <w:bCs/>
              <w:lang w:val="zh-CN"/>
            </w:rPr>
          </w:pPr>
        </w:p>
        <w:p w14:paraId="2B3D3DB1">
          <w:pPr>
            <w:pStyle w:val="19"/>
            <w:tabs>
              <w:tab w:val="right" w:leader="dot" w:pos="8295"/>
            </w:tabs>
            <w:rPr>
              <w:kern w:val="2"/>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"_Toc208327407" </w:instrText>
          </w:r>
          <w:r>
            <w:fldChar w:fldCharType="separate"/>
          </w:r>
          <w:r>
            <w:rPr>
              <w:rStyle w:val="29"/>
              <w:rFonts w:hint="eastAsia" w:cs="Times New Roman"/>
            </w:rPr>
            <w:t>目   次</w:t>
          </w:r>
          <w:r>
            <w:rPr>
              <w:rFonts w:hint="eastAsia"/>
            </w:rPr>
            <w:tab/>
          </w:r>
          <w:r>
            <w:rPr>
              <w:rFonts w:hint="eastAsia"/>
            </w:rPr>
            <w:fldChar w:fldCharType="begin"/>
          </w:r>
          <w:r>
            <w:rPr>
              <w:rFonts w:hint="eastAsia"/>
            </w:rPr>
            <w:instrText xml:space="preserve"> </w:instrText>
          </w:r>
          <w:r>
            <w:instrText xml:space="preserve">PAGEREF _Toc208327407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8E4D7D8">
          <w:pPr>
            <w:pStyle w:val="19"/>
            <w:tabs>
              <w:tab w:val="right" w:leader="dot" w:pos="8295"/>
            </w:tabs>
            <w:rPr>
              <w:kern w:val="2"/>
              <w:sz w:val="22"/>
              <w:szCs w:val="24"/>
              <w14:ligatures w14:val="standardContextual"/>
            </w:rPr>
          </w:pPr>
          <w:r>
            <w:fldChar w:fldCharType="begin"/>
          </w:r>
          <w:r>
            <w:instrText xml:space="preserve"> HYPERLINK \l "_Toc208327408" </w:instrText>
          </w:r>
          <w:r>
            <w:fldChar w:fldCharType="separate"/>
          </w:r>
          <w:r>
            <w:rPr>
              <w:rStyle w:val="29"/>
              <w:rFonts w:hint="eastAsia"/>
            </w:rPr>
            <w:t>前   言</w:t>
          </w:r>
          <w:r>
            <w:rPr>
              <w:rFonts w:hint="eastAsia"/>
            </w:rPr>
            <w:tab/>
          </w:r>
          <w:r>
            <w:rPr>
              <w:rFonts w:hint="eastAsia"/>
            </w:rPr>
            <w:fldChar w:fldCharType="begin"/>
          </w:r>
          <w:r>
            <w:rPr>
              <w:rFonts w:hint="eastAsia"/>
            </w:rPr>
            <w:instrText xml:space="preserve"> </w:instrText>
          </w:r>
          <w:r>
            <w:instrText xml:space="preserve">PAGEREF _Toc208327408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F503E11">
          <w:pPr>
            <w:pStyle w:val="19"/>
            <w:tabs>
              <w:tab w:val="right" w:leader="dot" w:pos="8295"/>
            </w:tabs>
          </w:pPr>
          <w:r>
            <w:fldChar w:fldCharType="begin"/>
          </w:r>
          <w:r>
            <w:instrText xml:space="preserve"> HYPERLINK \l "_Toc208327409" </w:instrText>
          </w:r>
          <w:r>
            <w:fldChar w:fldCharType="separate"/>
          </w:r>
          <w:r>
            <w:rPr>
              <w:rFonts w:hint="eastAsia"/>
            </w:rPr>
            <w:t>引   言</w:t>
          </w:r>
          <w:r>
            <w:rPr>
              <w:rFonts w:hint="eastAsia"/>
            </w:rPr>
            <w:tab/>
          </w:r>
          <w:r>
            <w:rPr>
              <w:rFonts w:hint="eastAsia"/>
            </w:rPr>
            <w:fldChar w:fldCharType="begin"/>
          </w:r>
          <w:r>
            <w:rPr>
              <w:rFonts w:hint="eastAsia"/>
            </w:rPr>
            <w:instrText xml:space="preserve"> </w:instrText>
          </w:r>
          <w:r>
            <w:instrText xml:space="preserve">PAGEREF _Toc208327409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3ED5110D">
          <w:pPr>
            <w:pStyle w:val="19"/>
            <w:tabs>
              <w:tab w:val="right" w:leader="dot" w:pos="8295"/>
            </w:tabs>
            <w:rPr>
              <w:kern w:val="2"/>
              <w:sz w:val="22"/>
              <w:szCs w:val="24"/>
              <w14:ligatures w14:val="standardContextual"/>
            </w:rPr>
          </w:pPr>
          <w:r>
            <w:fldChar w:fldCharType="begin"/>
          </w:r>
          <w:r>
            <w:instrText xml:space="preserve"> HYPERLINK \l "_Toc208327411" </w:instrText>
          </w:r>
          <w:r>
            <w:fldChar w:fldCharType="separate"/>
          </w:r>
          <w:r>
            <w:rPr>
              <w:rStyle w:val="29"/>
              <w:rFonts w:hint="eastAsia"/>
            </w:rPr>
            <w:t>1  范围</w:t>
          </w:r>
          <w:r>
            <w:rPr>
              <w:rFonts w:hint="eastAsia"/>
            </w:rPr>
            <w:tab/>
          </w:r>
          <w:r>
            <w:rPr>
              <w:rFonts w:hint="eastAsia"/>
            </w:rPr>
            <w:fldChar w:fldCharType="begin"/>
          </w:r>
          <w:r>
            <w:rPr>
              <w:rFonts w:hint="eastAsia"/>
            </w:rPr>
            <w:instrText xml:space="preserve"> </w:instrText>
          </w:r>
          <w:r>
            <w:instrText xml:space="preserve">PAGEREF _Toc208327411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824DF7">
          <w:pPr>
            <w:pStyle w:val="19"/>
            <w:tabs>
              <w:tab w:val="right" w:leader="dot" w:pos="8295"/>
            </w:tabs>
            <w:rPr>
              <w:kern w:val="2"/>
              <w:sz w:val="22"/>
              <w:szCs w:val="24"/>
              <w14:ligatures w14:val="standardContextual"/>
            </w:rPr>
          </w:pPr>
          <w:r>
            <w:fldChar w:fldCharType="begin"/>
          </w:r>
          <w:r>
            <w:instrText xml:space="preserve"> HYPERLINK \l "_Toc208327412" </w:instrText>
          </w:r>
          <w:r>
            <w:fldChar w:fldCharType="separate"/>
          </w:r>
          <w:r>
            <w:rPr>
              <w:rStyle w:val="29"/>
              <w:rFonts w:hint="eastAsia" w:hAnsi="Times New Roman"/>
            </w:rPr>
            <w:t xml:space="preserve">2  </w:t>
          </w:r>
          <w:r>
            <w:rPr>
              <w:rStyle w:val="29"/>
              <w:rFonts w:hint="eastAsia"/>
            </w:rPr>
            <w:t>规范性引用文件</w:t>
          </w:r>
          <w:r>
            <w:rPr>
              <w:rFonts w:hint="eastAsia"/>
            </w:rPr>
            <w:tab/>
          </w:r>
          <w:r>
            <w:rPr>
              <w:rFonts w:hint="eastAsia"/>
            </w:rPr>
            <w:fldChar w:fldCharType="begin"/>
          </w:r>
          <w:r>
            <w:rPr>
              <w:rFonts w:hint="eastAsia"/>
            </w:rPr>
            <w:instrText xml:space="preserve"> </w:instrText>
          </w:r>
          <w:r>
            <w:instrText xml:space="preserve">PAGEREF _Toc208327412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5A06C6D">
          <w:pPr>
            <w:pStyle w:val="19"/>
            <w:tabs>
              <w:tab w:val="right" w:leader="dot" w:pos="8295"/>
            </w:tabs>
            <w:rPr>
              <w:kern w:val="2"/>
              <w:sz w:val="22"/>
              <w:szCs w:val="24"/>
              <w14:ligatures w14:val="standardContextual"/>
            </w:rPr>
          </w:pPr>
          <w:r>
            <w:fldChar w:fldCharType="begin"/>
          </w:r>
          <w:r>
            <w:instrText xml:space="preserve"> HYPERLINK \l "_Toc208327413" </w:instrText>
          </w:r>
          <w:r>
            <w:fldChar w:fldCharType="separate"/>
          </w:r>
          <w:r>
            <w:rPr>
              <w:rStyle w:val="29"/>
              <w:rFonts w:hint="eastAsia" w:hAnsi="Times New Roman"/>
            </w:rPr>
            <w:t xml:space="preserve">3  </w:t>
          </w:r>
          <w:r>
            <w:rPr>
              <w:rStyle w:val="29"/>
              <w:rFonts w:hint="eastAsia"/>
            </w:rPr>
            <w:t>术语和定义</w:t>
          </w:r>
          <w:r>
            <w:rPr>
              <w:rFonts w:hint="eastAsia"/>
            </w:rPr>
            <w:tab/>
          </w:r>
          <w:r>
            <w:rPr>
              <w:rFonts w:hint="eastAsia"/>
            </w:rPr>
            <w:fldChar w:fldCharType="begin"/>
          </w:r>
          <w:r>
            <w:rPr>
              <w:rFonts w:hint="eastAsia"/>
            </w:rPr>
            <w:instrText xml:space="preserve"> </w:instrText>
          </w:r>
          <w:r>
            <w:instrText xml:space="preserve">PAGEREF _Toc208327413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B1DEA6">
          <w:pPr>
            <w:pStyle w:val="19"/>
            <w:tabs>
              <w:tab w:val="right" w:leader="dot" w:pos="8295"/>
            </w:tabs>
            <w:rPr>
              <w:kern w:val="2"/>
              <w:sz w:val="22"/>
              <w:szCs w:val="24"/>
              <w14:ligatures w14:val="standardContextual"/>
            </w:rPr>
          </w:pPr>
          <w:r>
            <w:fldChar w:fldCharType="begin"/>
          </w:r>
          <w:r>
            <w:instrText xml:space="preserve"> HYPERLINK \l "_Toc208327414" </w:instrText>
          </w:r>
          <w:r>
            <w:fldChar w:fldCharType="separate"/>
          </w:r>
          <w:r>
            <w:rPr>
              <w:rStyle w:val="29"/>
              <w:rFonts w:hint="eastAsia" w:hAnsi="Times New Roman"/>
            </w:rPr>
            <w:t xml:space="preserve">4  </w:t>
          </w:r>
          <w:r>
            <w:rPr>
              <w:rStyle w:val="29"/>
              <w:rFonts w:hint="eastAsia"/>
            </w:rPr>
            <w:t>基本要求</w:t>
          </w:r>
          <w:r>
            <w:rPr>
              <w:rFonts w:hint="eastAsia"/>
            </w:rPr>
            <w:tab/>
          </w:r>
          <w:r>
            <w:rPr>
              <w:rFonts w:hint="eastAsia"/>
            </w:rPr>
            <w:fldChar w:fldCharType="begin"/>
          </w:r>
          <w:r>
            <w:rPr>
              <w:rFonts w:hint="eastAsia"/>
            </w:rPr>
            <w:instrText xml:space="preserve"> </w:instrText>
          </w:r>
          <w:r>
            <w:instrText xml:space="preserve">PAGEREF _Toc208327414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D822A27">
          <w:pPr>
            <w:pStyle w:val="19"/>
            <w:tabs>
              <w:tab w:val="right" w:leader="dot" w:pos="8295"/>
            </w:tabs>
            <w:rPr>
              <w:kern w:val="2"/>
              <w:sz w:val="22"/>
              <w:szCs w:val="24"/>
              <w14:ligatures w14:val="standardContextual"/>
            </w:rPr>
          </w:pPr>
          <w:r>
            <w:fldChar w:fldCharType="begin"/>
          </w:r>
          <w:r>
            <w:instrText xml:space="preserve"> HYPERLINK \l "_Toc208327415" </w:instrText>
          </w:r>
          <w:r>
            <w:fldChar w:fldCharType="separate"/>
          </w:r>
          <w:r>
            <w:rPr>
              <w:rStyle w:val="29"/>
              <w:rFonts w:hint="eastAsia" w:hAnsi="Times New Roman"/>
            </w:rPr>
            <w:t xml:space="preserve">5  </w:t>
          </w:r>
          <w:r>
            <w:rPr>
              <w:rStyle w:val="29"/>
              <w:rFonts w:hint="eastAsia"/>
            </w:rPr>
            <w:t>三维数字测量方法</w:t>
          </w:r>
          <w:r>
            <w:rPr>
              <w:rFonts w:hint="eastAsia"/>
            </w:rPr>
            <w:tab/>
          </w:r>
          <w:r>
            <w:rPr>
              <w:rFonts w:hint="eastAsia"/>
            </w:rPr>
            <w:fldChar w:fldCharType="begin"/>
          </w:r>
          <w:r>
            <w:rPr>
              <w:rFonts w:hint="eastAsia"/>
            </w:rPr>
            <w:instrText xml:space="preserve"> </w:instrText>
          </w:r>
          <w:r>
            <w:instrText xml:space="preserve">PAGEREF _Toc208327415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2BE9447">
          <w:pPr>
            <w:pStyle w:val="19"/>
            <w:tabs>
              <w:tab w:val="right" w:leader="dot" w:pos="8295"/>
            </w:tabs>
            <w:rPr>
              <w:kern w:val="2"/>
              <w:sz w:val="22"/>
              <w:szCs w:val="24"/>
              <w14:ligatures w14:val="standardContextual"/>
            </w:rPr>
          </w:pPr>
          <w:r>
            <w:fldChar w:fldCharType="begin"/>
          </w:r>
          <w:r>
            <w:instrText xml:space="preserve"> HYPERLINK \l "_Toc208327416" </w:instrText>
          </w:r>
          <w:r>
            <w:fldChar w:fldCharType="separate"/>
          </w:r>
          <w:r>
            <w:rPr>
              <w:rStyle w:val="29"/>
              <w:rFonts w:hint="eastAsia" w:ascii="黑体" w:hAnsi="Times New Roman" w:eastAsia="宋体"/>
            </w:rPr>
            <w:t>5.1</w:t>
          </w:r>
          <w:r>
            <w:rPr>
              <w:rStyle w:val="29"/>
              <w:rFonts w:hint="eastAsia" w:ascii="黑体" w:hAnsi="黑体" w:cs="黑体"/>
            </w:rPr>
            <w:t>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280D1F7">
          <w:pPr>
            <w:pStyle w:val="19"/>
            <w:tabs>
              <w:tab w:val="right" w:leader="dot" w:pos="8295"/>
            </w:tabs>
            <w:rPr>
              <w:kern w:val="2"/>
              <w:sz w:val="22"/>
              <w:szCs w:val="24"/>
              <w14:ligatures w14:val="standardContextual"/>
            </w:rPr>
          </w:pPr>
          <w:r>
            <w:fldChar w:fldCharType="begin"/>
          </w:r>
          <w:r>
            <w:instrText xml:space="preserve"> HYPERLINK \l "_Toc208327417" </w:instrText>
          </w:r>
          <w:r>
            <w:fldChar w:fldCharType="separate"/>
          </w:r>
          <w:r>
            <w:rPr>
              <w:rStyle w:val="29"/>
              <w:rFonts w:hint="eastAsia" w:ascii="黑体" w:hAnsi="黑体"/>
            </w:rPr>
            <w:t>5.2</w:t>
          </w:r>
          <w:r>
            <w:rPr>
              <w:rStyle w:val="29"/>
              <w:rFonts w:hint="eastAsia" w:ascii="黑体" w:hAnsi="黑体" w:cs="黑体"/>
            </w:rPr>
            <w:t>　</w:t>
          </w:r>
          <w:r>
            <w:rPr>
              <w:rStyle w:val="29"/>
              <w:rFonts w:hint="eastAsia"/>
            </w:rPr>
            <w:t>三维测量规定</w:t>
          </w:r>
          <w:r>
            <w:rPr>
              <w:rFonts w:hint="eastAsia"/>
            </w:rPr>
            <w:tab/>
          </w:r>
          <w:r>
            <w:rPr>
              <w:rFonts w:hint="eastAsia"/>
            </w:rPr>
            <w:fldChar w:fldCharType="begin"/>
          </w:r>
          <w:r>
            <w:rPr>
              <w:rFonts w:hint="eastAsia"/>
            </w:rPr>
            <w:instrText xml:space="preserve"> </w:instrText>
          </w:r>
          <w:r>
            <w:instrText xml:space="preserve">PAGEREF _Toc208327417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0EBE78A">
          <w:pPr>
            <w:pStyle w:val="19"/>
            <w:tabs>
              <w:tab w:val="right" w:leader="dot" w:pos="8295"/>
            </w:tabs>
            <w:rPr>
              <w:kern w:val="2"/>
              <w:sz w:val="22"/>
              <w:szCs w:val="24"/>
              <w14:ligatures w14:val="standardContextual"/>
            </w:rPr>
          </w:pPr>
          <w:r>
            <w:fldChar w:fldCharType="begin"/>
          </w:r>
          <w:r>
            <w:instrText xml:space="preserve"> HYPERLINK \l "_Toc208327418" </w:instrText>
          </w:r>
          <w:r>
            <w:fldChar w:fldCharType="separate"/>
          </w:r>
          <w:r>
            <w:rPr>
              <w:rStyle w:val="29"/>
              <w:rFonts w:hint="eastAsia" w:ascii="黑体" w:hAnsi="Times New Roman" w:cs="Times New Roman"/>
            </w:rPr>
            <w:t>5.3　</w:t>
          </w:r>
          <w:r>
            <w:rPr>
              <w:rStyle w:val="29"/>
              <w:rFonts w:hint="eastAsia"/>
            </w:rPr>
            <w:t>三维测量方案</w:t>
          </w:r>
          <w:r>
            <w:rPr>
              <w:rFonts w:hint="eastAsia"/>
            </w:rPr>
            <w:tab/>
          </w:r>
          <w:r>
            <w:rPr>
              <w:rFonts w:hint="eastAsia"/>
            </w:rPr>
            <w:fldChar w:fldCharType="begin"/>
          </w:r>
          <w:r>
            <w:rPr>
              <w:rFonts w:hint="eastAsia"/>
            </w:rPr>
            <w:instrText xml:space="preserve"> </w:instrText>
          </w:r>
          <w:r>
            <w:instrText xml:space="preserve">PAGEREF _Toc208327418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2B27F7D">
          <w:pPr>
            <w:pStyle w:val="19"/>
            <w:tabs>
              <w:tab w:val="right" w:leader="dot" w:pos="8295"/>
            </w:tabs>
            <w:rPr>
              <w:kern w:val="2"/>
              <w:sz w:val="22"/>
              <w:szCs w:val="24"/>
              <w14:ligatures w14:val="standardContextual"/>
            </w:rPr>
          </w:pPr>
          <w:r>
            <w:fldChar w:fldCharType="begin"/>
          </w:r>
          <w:r>
            <w:instrText xml:space="preserve"> HYPERLINK \l "_Toc208327419" </w:instrText>
          </w:r>
          <w:r>
            <w:fldChar w:fldCharType="separate"/>
          </w:r>
          <w:r>
            <w:rPr>
              <w:rStyle w:val="29"/>
              <w:rFonts w:hint="eastAsia" w:hAnsi="Times New Roman"/>
            </w:rPr>
            <w:t xml:space="preserve">6  </w:t>
          </w:r>
          <w:r>
            <w:rPr>
              <w:rStyle w:val="29"/>
              <w:rFonts w:hint="eastAsia"/>
            </w:rPr>
            <w:t>制造尺寸检测</w:t>
          </w:r>
          <w:r>
            <w:rPr>
              <w:rFonts w:hint="eastAsia"/>
            </w:rPr>
            <w:tab/>
          </w:r>
          <w:r>
            <w:rPr>
              <w:rFonts w:hint="eastAsia"/>
            </w:rPr>
            <w:fldChar w:fldCharType="begin"/>
          </w:r>
          <w:r>
            <w:rPr>
              <w:rFonts w:hint="eastAsia"/>
            </w:rPr>
            <w:instrText xml:space="preserve"> </w:instrText>
          </w:r>
          <w:r>
            <w:instrText xml:space="preserve">PAGEREF _Toc208327419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58F41F3">
          <w:pPr>
            <w:pStyle w:val="19"/>
            <w:tabs>
              <w:tab w:val="right" w:leader="dot" w:pos="8295"/>
            </w:tabs>
            <w:rPr>
              <w:kern w:val="2"/>
              <w:sz w:val="22"/>
              <w:szCs w:val="24"/>
              <w14:ligatures w14:val="standardContextual"/>
            </w:rPr>
          </w:pPr>
          <w:r>
            <w:fldChar w:fldCharType="begin"/>
          </w:r>
          <w:r>
            <w:instrText xml:space="preserve"> HYPERLINK \l "_Toc208327420" </w:instrText>
          </w:r>
          <w:r>
            <w:fldChar w:fldCharType="separate"/>
          </w:r>
          <w:r>
            <w:rPr>
              <w:rStyle w:val="29"/>
              <w:rFonts w:hint="eastAsia" w:ascii="黑体" w:hAnsi="Times New Roman" w:cs="Times New Roman"/>
            </w:rPr>
            <w:t>6.1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CD1E1D0">
          <w:pPr>
            <w:pStyle w:val="19"/>
            <w:tabs>
              <w:tab w:val="right" w:leader="dot" w:pos="8295"/>
            </w:tabs>
            <w:rPr>
              <w:kern w:val="2"/>
              <w:sz w:val="22"/>
              <w:szCs w:val="24"/>
              <w14:ligatures w14:val="standardContextual"/>
            </w:rPr>
          </w:pPr>
          <w:r>
            <w:fldChar w:fldCharType="begin"/>
          </w:r>
          <w:r>
            <w:instrText xml:space="preserve"> HYPERLINK \l "_Toc208327421" </w:instrText>
          </w:r>
          <w:r>
            <w:fldChar w:fldCharType="separate"/>
          </w:r>
          <w:r>
            <w:rPr>
              <w:rStyle w:val="29"/>
              <w:rFonts w:hint="eastAsia" w:ascii="黑体" w:hAnsi="Times New Roman" w:cs="Times New Roman"/>
            </w:rPr>
            <w:t>6.2　</w:t>
          </w:r>
          <w:r>
            <w:rPr>
              <w:rStyle w:val="29"/>
              <w:rFonts w:hint="eastAsia"/>
            </w:rPr>
            <w:t>尺寸检测实施</w:t>
          </w:r>
          <w:r>
            <w:rPr>
              <w:rFonts w:hint="eastAsia"/>
            </w:rPr>
            <w:tab/>
          </w:r>
          <w:r>
            <w:rPr>
              <w:rFonts w:hint="eastAsia"/>
            </w:rPr>
            <w:fldChar w:fldCharType="begin"/>
          </w:r>
          <w:r>
            <w:rPr>
              <w:rFonts w:hint="eastAsia"/>
            </w:rPr>
            <w:instrText xml:space="preserve"> </w:instrText>
          </w:r>
          <w:r>
            <w:instrText xml:space="preserve">PAGEREF _Toc208327421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3B6B516">
          <w:pPr>
            <w:pStyle w:val="19"/>
            <w:tabs>
              <w:tab w:val="right" w:leader="dot" w:pos="8295"/>
            </w:tabs>
            <w:rPr>
              <w:kern w:val="2"/>
              <w:sz w:val="22"/>
              <w:szCs w:val="24"/>
              <w14:ligatures w14:val="standardContextual"/>
            </w:rPr>
          </w:pPr>
          <w:r>
            <w:fldChar w:fldCharType="begin"/>
          </w:r>
          <w:r>
            <w:instrText xml:space="preserve"> HYPERLINK \l "_Toc208327422" </w:instrText>
          </w:r>
          <w:r>
            <w:fldChar w:fldCharType="separate"/>
          </w:r>
          <w:r>
            <w:rPr>
              <w:rStyle w:val="29"/>
              <w:rFonts w:hint="eastAsia" w:ascii="黑体" w:hAnsi="Times New Roman" w:cs="Times New Roman"/>
            </w:rPr>
            <w:t>6.3　</w:t>
          </w:r>
          <w:r>
            <w:rPr>
              <w:rStyle w:val="29"/>
              <w:rFonts w:hint="eastAsia"/>
            </w:rPr>
            <w:t>尺寸检测质量评价</w:t>
          </w:r>
          <w:r>
            <w:rPr>
              <w:rFonts w:hint="eastAsia"/>
            </w:rPr>
            <w:tab/>
          </w:r>
          <w:r>
            <w:rPr>
              <w:rFonts w:hint="eastAsia"/>
            </w:rPr>
            <w:fldChar w:fldCharType="begin"/>
          </w:r>
          <w:r>
            <w:rPr>
              <w:rFonts w:hint="eastAsia"/>
            </w:rPr>
            <w:instrText xml:space="preserve"> </w:instrText>
          </w:r>
          <w:r>
            <w:instrText xml:space="preserve">PAGEREF _Toc208327422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4CE0EE0">
          <w:pPr>
            <w:pStyle w:val="19"/>
            <w:tabs>
              <w:tab w:val="right" w:leader="dot" w:pos="8295"/>
            </w:tabs>
            <w:rPr>
              <w:kern w:val="2"/>
              <w:sz w:val="22"/>
              <w:szCs w:val="24"/>
              <w14:ligatures w14:val="standardContextual"/>
            </w:rPr>
          </w:pPr>
          <w:r>
            <w:fldChar w:fldCharType="begin"/>
          </w:r>
          <w:r>
            <w:instrText xml:space="preserve"> HYPERLINK \l "_Toc208327423" </w:instrText>
          </w:r>
          <w:r>
            <w:fldChar w:fldCharType="separate"/>
          </w:r>
          <w:r>
            <w:rPr>
              <w:rStyle w:val="29"/>
              <w:rFonts w:hint="eastAsia" w:hAnsi="Times New Roman"/>
            </w:rPr>
            <w:t xml:space="preserve">7  </w:t>
          </w:r>
          <w:r>
            <w:rPr>
              <w:rStyle w:val="29"/>
              <w:rFonts w:hint="eastAsia"/>
            </w:rPr>
            <w:t>数字化预拼装与误差估计</w:t>
          </w:r>
          <w:r>
            <w:rPr>
              <w:rFonts w:hint="eastAsia"/>
            </w:rPr>
            <w:tab/>
          </w:r>
          <w:r>
            <w:rPr>
              <w:rFonts w:hint="eastAsia"/>
            </w:rPr>
            <w:fldChar w:fldCharType="begin"/>
          </w:r>
          <w:r>
            <w:rPr>
              <w:rFonts w:hint="eastAsia"/>
            </w:rPr>
            <w:instrText xml:space="preserve"> </w:instrText>
          </w:r>
          <w:r>
            <w:instrText xml:space="preserve">PAGEREF _Toc208327423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2BCFCB9">
          <w:pPr>
            <w:pStyle w:val="19"/>
            <w:tabs>
              <w:tab w:val="right" w:leader="dot" w:pos="8295"/>
            </w:tabs>
            <w:rPr>
              <w:kern w:val="2"/>
              <w:sz w:val="22"/>
              <w:szCs w:val="24"/>
              <w14:ligatures w14:val="standardContextual"/>
            </w:rPr>
          </w:pPr>
          <w:r>
            <w:fldChar w:fldCharType="begin"/>
          </w:r>
          <w:r>
            <w:instrText xml:space="preserve"> HYPERLINK \l "_Toc208327424" </w:instrText>
          </w:r>
          <w:r>
            <w:fldChar w:fldCharType="separate"/>
          </w:r>
          <w:r>
            <w:rPr>
              <w:rStyle w:val="29"/>
              <w:rFonts w:hint="eastAsia" w:ascii="黑体" w:hAnsi="Times New Roman" w:cs="Times New Roman"/>
            </w:rPr>
            <w:t>7.1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E0A15C9">
          <w:pPr>
            <w:pStyle w:val="19"/>
            <w:tabs>
              <w:tab w:val="right" w:leader="dot" w:pos="8295"/>
            </w:tabs>
            <w:rPr>
              <w:kern w:val="2"/>
              <w:sz w:val="22"/>
              <w:szCs w:val="24"/>
              <w14:ligatures w14:val="standardContextual"/>
            </w:rPr>
          </w:pPr>
          <w:r>
            <w:fldChar w:fldCharType="begin"/>
          </w:r>
          <w:r>
            <w:instrText xml:space="preserve"> HYPERLINK \l "_Toc208327425" </w:instrText>
          </w:r>
          <w:r>
            <w:fldChar w:fldCharType="separate"/>
          </w:r>
          <w:r>
            <w:rPr>
              <w:rStyle w:val="29"/>
              <w:rFonts w:hint="eastAsia" w:ascii="黑体" w:hAnsi="Times New Roman" w:cs="Times New Roman"/>
            </w:rPr>
            <w:t>7.2　</w:t>
          </w:r>
          <w:r>
            <w:rPr>
              <w:rStyle w:val="29"/>
              <w:rFonts w:hint="eastAsia"/>
            </w:rPr>
            <w:t>数字化预拼装</w:t>
          </w:r>
          <w:r>
            <w:rPr>
              <w:rFonts w:hint="eastAsia"/>
            </w:rPr>
            <w:tab/>
          </w:r>
          <w:r>
            <w:rPr>
              <w:rFonts w:hint="eastAsia"/>
            </w:rPr>
            <w:fldChar w:fldCharType="begin"/>
          </w:r>
          <w:r>
            <w:rPr>
              <w:rFonts w:hint="eastAsia"/>
            </w:rPr>
            <w:instrText xml:space="preserve"> </w:instrText>
          </w:r>
          <w:r>
            <w:instrText xml:space="preserve">PAGEREF _Toc208327425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7B1D267">
          <w:pPr>
            <w:pStyle w:val="19"/>
            <w:tabs>
              <w:tab w:val="right" w:leader="dot" w:pos="8295"/>
            </w:tabs>
            <w:rPr>
              <w:kern w:val="2"/>
              <w:sz w:val="22"/>
              <w:szCs w:val="24"/>
              <w14:ligatures w14:val="standardContextual"/>
            </w:rPr>
          </w:pPr>
          <w:r>
            <w:fldChar w:fldCharType="begin"/>
          </w:r>
          <w:r>
            <w:instrText xml:space="preserve"> HYPERLINK \l "_Toc208327426" </w:instrText>
          </w:r>
          <w:r>
            <w:fldChar w:fldCharType="separate"/>
          </w:r>
          <w:r>
            <w:rPr>
              <w:rStyle w:val="29"/>
              <w:rFonts w:hint="eastAsia" w:ascii="黑体" w:hAnsi="Times New Roman" w:cs="Times New Roman"/>
            </w:rPr>
            <w:t>7.3　</w:t>
          </w:r>
          <w:r>
            <w:rPr>
              <w:rStyle w:val="29"/>
              <w:rFonts w:hint="eastAsia"/>
            </w:rPr>
            <w:t>误差预测</w:t>
          </w:r>
          <w:r>
            <w:rPr>
              <w:rFonts w:hint="eastAsia"/>
            </w:rPr>
            <w:tab/>
          </w:r>
          <w:r>
            <w:rPr>
              <w:rFonts w:hint="eastAsia"/>
            </w:rPr>
            <w:fldChar w:fldCharType="begin"/>
          </w:r>
          <w:r>
            <w:rPr>
              <w:rFonts w:hint="eastAsia"/>
            </w:rPr>
            <w:instrText xml:space="preserve"> </w:instrText>
          </w:r>
          <w:r>
            <w:instrText xml:space="preserve">PAGEREF _Toc208327426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F3ED1B8">
          <w:pPr>
            <w:pStyle w:val="19"/>
            <w:tabs>
              <w:tab w:val="right" w:leader="dot" w:pos="8295"/>
            </w:tabs>
            <w:rPr>
              <w:kern w:val="2"/>
              <w:sz w:val="22"/>
              <w:szCs w:val="24"/>
              <w14:ligatures w14:val="standardContextual"/>
            </w:rPr>
          </w:pPr>
          <w:r>
            <w:fldChar w:fldCharType="begin"/>
          </w:r>
          <w:r>
            <w:instrText xml:space="preserve"> HYPERLINK \l "_Toc208327427" </w:instrText>
          </w:r>
          <w:r>
            <w:fldChar w:fldCharType="separate"/>
          </w:r>
          <w:r>
            <w:rPr>
              <w:rStyle w:val="29"/>
              <w:rFonts w:hint="eastAsia" w:ascii="黑体" w:hAnsi="Times New Roman" w:eastAsia="宋体"/>
            </w:rPr>
            <w:t>7.4</w:t>
          </w:r>
          <w:r>
            <w:rPr>
              <w:rStyle w:val="29"/>
              <w:rFonts w:hint="eastAsia" w:ascii="黑体" w:hAnsi="Times New Roman" w:cs="Times New Roman"/>
            </w:rPr>
            <w:t>　</w:t>
          </w:r>
          <w:r>
            <w:rPr>
              <w:rStyle w:val="29"/>
              <w:rFonts w:hint="eastAsia" w:ascii="黑体" w:hAnsi="Times New Roman" w:eastAsia="宋体"/>
            </w:rPr>
            <w:t>误差数据存档</w:t>
          </w:r>
          <w:r>
            <w:rPr>
              <w:rFonts w:hint="eastAsia"/>
            </w:rPr>
            <w:tab/>
          </w:r>
          <w:r>
            <w:rPr>
              <w:rFonts w:hint="eastAsia"/>
            </w:rPr>
            <w:fldChar w:fldCharType="begin"/>
          </w:r>
          <w:r>
            <w:rPr>
              <w:rFonts w:hint="eastAsia"/>
            </w:rPr>
            <w:instrText xml:space="preserve"> </w:instrText>
          </w:r>
          <w:r>
            <w:instrText xml:space="preserve">PAGEREF _Toc208327427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F9C83B8">
          <w:pPr>
            <w:pStyle w:val="19"/>
            <w:tabs>
              <w:tab w:val="right" w:leader="dot" w:pos="8295"/>
            </w:tabs>
            <w:rPr>
              <w:kern w:val="2"/>
              <w:sz w:val="22"/>
              <w:szCs w:val="24"/>
              <w14:ligatures w14:val="standardContextual"/>
            </w:rPr>
          </w:pPr>
          <w:r>
            <w:fldChar w:fldCharType="begin"/>
          </w:r>
          <w:r>
            <w:instrText xml:space="preserve"> HYPERLINK \l "_Toc208327428" </w:instrText>
          </w:r>
          <w:r>
            <w:fldChar w:fldCharType="separate"/>
          </w:r>
          <w:r>
            <w:rPr>
              <w:rStyle w:val="29"/>
              <w:rFonts w:hint="eastAsia" w:ascii="黑体" w:hAnsi="黑体"/>
            </w:rPr>
            <w:t xml:space="preserve">8  </w:t>
          </w:r>
          <w:r>
            <w:rPr>
              <w:rStyle w:val="29"/>
              <w:rFonts w:hint="eastAsia"/>
            </w:rPr>
            <w:t>实际拼装偏差控制</w:t>
          </w:r>
          <w:r>
            <w:rPr>
              <w:rFonts w:hint="eastAsia"/>
            </w:rPr>
            <w:tab/>
          </w:r>
          <w:r>
            <w:rPr>
              <w:rFonts w:hint="eastAsia"/>
            </w:rPr>
            <w:fldChar w:fldCharType="begin"/>
          </w:r>
          <w:r>
            <w:rPr>
              <w:rFonts w:hint="eastAsia"/>
            </w:rPr>
            <w:instrText xml:space="preserve"> </w:instrText>
          </w:r>
          <w:r>
            <w:instrText xml:space="preserve">PAGEREF _Toc208327428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72B7ED5">
          <w:pPr>
            <w:pStyle w:val="19"/>
            <w:tabs>
              <w:tab w:val="right" w:leader="dot" w:pos="8295"/>
            </w:tabs>
            <w:rPr>
              <w:kern w:val="2"/>
              <w:sz w:val="22"/>
              <w:szCs w:val="24"/>
              <w14:ligatures w14:val="standardContextual"/>
            </w:rPr>
          </w:pPr>
          <w:r>
            <w:fldChar w:fldCharType="begin"/>
          </w:r>
          <w:r>
            <w:instrText xml:space="preserve"> HYPERLINK \l "_Toc208327429" </w:instrText>
          </w:r>
          <w:r>
            <w:fldChar w:fldCharType="separate"/>
          </w:r>
          <w:r>
            <w:rPr>
              <w:rStyle w:val="29"/>
              <w:rFonts w:hint="eastAsia" w:ascii="黑体" w:hAnsi="Times New Roman" w:cs="Times New Roman"/>
            </w:rPr>
            <w:t>8.1</w:t>
          </w:r>
          <w:r>
            <w:rPr>
              <w:rStyle w:val="29"/>
              <w:rFonts w:hint="eastAsia" w:ascii="黑体" w:hAnsi="Times New Roman" w:eastAsia="宋体"/>
            </w:rPr>
            <w:t>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8A128B9">
          <w:pPr>
            <w:pStyle w:val="19"/>
            <w:tabs>
              <w:tab w:val="right" w:leader="dot" w:pos="8295"/>
            </w:tabs>
            <w:rPr>
              <w:kern w:val="2"/>
              <w:sz w:val="22"/>
              <w:szCs w:val="24"/>
              <w14:ligatures w14:val="standardContextual"/>
            </w:rPr>
          </w:pPr>
          <w:r>
            <w:fldChar w:fldCharType="begin"/>
          </w:r>
          <w:r>
            <w:instrText xml:space="preserve"> HYPERLINK \l "_Toc208327430" </w:instrText>
          </w:r>
          <w:r>
            <w:fldChar w:fldCharType="separate"/>
          </w:r>
          <w:r>
            <w:rPr>
              <w:rStyle w:val="29"/>
              <w:rFonts w:hint="eastAsia" w:ascii="黑体" w:hAnsi="Times New Roman" w:cs="Times New Roman"/>
            </w:rPr>
            <w:t>8.2　</w:t>
          </w:r>
          <w:r>
            <w:rPr>
              <w:rStyle w:val="29"/>
              <w:rFonts w:hint="eastAsia"/>
            </w:rPr>
            <w:t>拼装偏差测控措施</w:t>
          </w:r>
          <w:r>
            <w:rPr>
              <w:rFonts w:hint="eastAsia"/>
            </w:rPr>
            <w:tab/>
          </w:r>
          <w:r>
            <w:rPr>
              <w:rFonts w:hint="eastAsia"/>
            </w:rPr>
            <w:fldChar w:fldCharType="begin"/>
          </w:r>
          <w:r>
            <w:rPr>
              <w:rFonts w:hint="eastAsia"/>
            </w:rPr>
            <w:instrText xml:space="preserve"> </w:instrText>
          </w:r>
          <w:r>
            <w:instrText xml:space="preserve">PAGEREF _Toc208327430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E8957F2">
          <w:pPr>
            <w:pStyle w:val="19"/>
            <w:tabs>
              <w:tab w:val="right" w:leader="dot" w:pos="8295"/>
            </w:tabs>
            <w:rPr>
              <w:kern w:val="2"/>
              <w:sz w:val="22"/>
              <w:szCs w:val="24"/>
              <w14:ligatures w14:val="standardContextual"/>
            </w:rPr>
          </w:pPr>
          <w:r>
            <w:fldChar w:fldCharType="begin"/>
          </w:r>
          <w:r>
            <w:instrText xml:space="preserve"> HYPERLINK \l "_Toc208327431" </w:instrText>
          </w:r>
          <w:r>
            <w:fldChar w:fldCharType="separate"/>
          </w:r>
          <w:r>
            <w:rPr>
              <w:rStyle w:val="29"/>
              <w:rFonts w:hint="eastAsia" w:ascii="黑体" w:hAnsi="Times New Roman" w:cs="黑体"/>
            </w:rPr>
            <w:t>9</w:t>
          </w:r>
          <w:r>
            <w:rPr>
              <w:rStyle w:val="29"/>
              <w:rFonts w:hint="eastAsia" w:hAnsi="Times New Roman" w:cs="黑体"/>
            </w:rPr>
            <w:t xml:space="preserve">  </w:t>
          </w:r>
          <w:r>
            <w:rPr>
              <w:rStyle w:val="29"/>
              <w:rFonts w:hint="eastAsia"/>
            </w:rPr>
            <w:t>标准实施及评价</w:t>
          </w:r>
          <w:r>
            <w:rPr>
              <w:rFonts w:hint="eastAsia"/>
            </w:rPr>
            <w:tab/>
          </w:r>
          <w:r>
            <w:rPr>
              <w:rFonts w:hint="eastAsia"/>
            </w:rPr>
            <w:fldChar w:fldCharType="begin"/>
          </w:r>
          <w:r>
            <w:rPr>
              <w:rFonts w:hint="eastAsia"/>
            </w:rPr>
            <w:instrText xml:space="preserve"> </w:instrText>
          </w:r>
          <w:r>
            <w:instrText xml:space="preserve">PAGEREF _Toc208327431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7E84D82">
          <w:pPr>
            <w:pStyle w:val="19"/>
            <w:tabs>
              <w:tab w:val="right" w:leader="dot" w:pos="8295"/>
            </w:tabs>
            <w:rPr>
              <w:kern w:val="2"/>
              <w:sz w:val="22"/>
              <w:szCs w:val="24"/>
              <w14:ligatures w14:val="standardContextual"/>
            </w:rPr>
          </w:pPr>
          <w:r>
            <w:fldChar w:fldCharType="begin"/>
          </w:r>
          <w:r>
            <w:instrText xml:space="preserve"> HYPERLINK \l "_Toc208327432" </w:instrText>
          </w:r>
          <w:r>
            <w:fldChar w:fldCharType="separate"/>
          </w:r>
          <w:r>
            <w:rPr>
              <w:rStyle w:val="29"/>
              <w:rFonts w:hint="eastAsia" w:hAnsi="黑体"/>
            </w:rPr>
            <w:t>附  录  A</w:t>
          </w:r>
          <w:r>
            <w:rPr>
              <w:rStyle w:val="29"/>
              <w:rFonts w:hint="eastAsia"/>
            </w:rPr>
            <w:t xml:space="preserve"> （资料性）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_Toc208327432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4765F1">
          <w:r>
            <w:rPr>
              <w:lang w:val="zh-CN"/>
            </w:rPr>
            <w:fldChar w:fldCharType="end"/>
          </w:r>
        </w:p>
      </w:sdtContent>
    </w:sdt>
    <w:p w14:paraId="31C07EFC">
      <w:pPr>
        <w:pStyle w:val="92"/>
        <w:spacing w:before="400" w:after="480"/>
        <w:rPr>
          <w:rFonts w:hint="eastAsia"/>
        </w:rPr>
      </w:pPr>
      <w:bookmarkStart w:id="8" w:name="_Toc208327408"/>
      <w:r>
        <w:rPr>
          <w:rFonts w:hint="eastAsia"/>
        </w:rPr>
        <w:t>前</w:t>
      </w:r>
      <w:bookmarkStart w:id="9" w:name="BKQY"/>
      <w:r>
        <w:rPr>
          <w:rFonts w:hint="eastAsia"/>
        </w:rPr>
        <w:t xml:space="preserve">   言</w:t>
      </w:r>
      <w:bookmarkEnd w:id="6"/>
      <w:bookmarkEnd w:id="7"/>
      <w:bookmarkEnd w:id="8"/>
      <w:bookmarkEnd w:id="9"/>
    </w:p>
    <w:p w14:paraId="39319ACE">
      <w:pPr>
        <w:pStyle w:val="45"/>
        <w:rPr>
          <w:rFonts w:hint="eastAsia"/>
        </w:rPr>
      </w:pPr>
      <w:r>
        <w:rPr>
          <w:rFonts w:hint="eastAsia"/>
        </w:rPr>
        <w:t>本文件按照GB/T 1.1—2020《标准化工作导则  第1部分：标准化文件的结构和起草规则》的规定起草。</w:t>
      </w:r>
    </w:p>
    <w:p w14:paraId="0178D502">
      <w:pPr>
        <w:pStyle w:val="45"/>
        <w:rPr>
          <w:rFonts w:hint="eastAsia"/>
        </w:rPr>
      </w:pPr>
      <w:r>
        <w:rPr>
          <w:rFonts w:hint="eastAsia"/>
        </w:rPr>
        <w:t>请注意本文件的某些内容可能涉及专利。本文件的发布机构不承担识别专利的责任。</w:t>
      </w:r>
    </w:p>
    <w:p w14:paraId="36AA2E86">
      <w:pPr>
        <w:pStyle w:val="45"/>
        <w:rPr>
          <w:rFonts w:hint="eastAsia"/>
        </w:rPr>
      </w:pPr>
      <w:r>
        <w:rPr>
          <w:rFonts w:hint="eastAsia"/>
        </w:rPr>
        <w:t xml:space="preserve">本文件由湖北省住房和建设厅提出并归口管理。 </w:t>
      </w:r>
    </w:p>
    <w:p w14:paraId="3B671F69">
      <w:pPr>
        <w:pStyle w:val="45"/>
        <w:rPr>
          <w:rFonts w:hint="eastAsia"/>
        </w:rPr>
      </w:pPr>
      <w:r>
        <w:rPr>
          <w:rFonts w:hint="eastAsia"/>
        </w:rPr>
        <w:t>本文件起草单位：中铁大桥局集团有限公司、</w:t>
      </w:r>
      <w:bookmarkStart w:id="10" w:name="OLE_LINK2"/>
      <w:r>
        <w:rPr>
          <w:rFonts w:hint="eastAsia"/>
        </w:rPr>
        <w:t>中铁大桥勘测设计院集团有限公司、中铁大桥科学研究院有限公司、武汉誉城千里建工有限公司、中铁桥研科技有限公司、中铁山桥集团有限公司</w:t>
      </w:r>
      <w:bookmarkEnd w:id="10"/>
      <w:r>
        <w:rPr>
          <w:rFonts w:hint="eastAsia"/>
        </w:rPr>
        <w:t>。</w:t>
      </w:r>
    </w:p>
    <w:p w14:paraId="76048729">
      <w:pPr>
        <w:pStyle w:val="45"/>
        <w:rPr>
          <w:rFonts w:hint="eastAsia"/>
        </w:rPr>
      </w:pPr>
      <w:r>
        <w:rPr>
          <w:rFonts w:hint="eastAsia"/>
        </w:rPr>
        <w:t>本文件主要起草人：毛伟琦、钟继卫、郑清刚、李艳哲、胡怡之、万纯斌、赵训刚、代皓、吴品、王波、黄晓航、幸思佳、彭旭民、吴锡、吴巨峰、李逸、王熊珏、苑仁安、郑党鑫、渠金玉、黄启文、石立鹏、王伟、董晓兵、周强、张亚州、李少骏、宋红飞。</w:t>
      </w:r>
    </w:p>
    <w:p w14:paraId="0C295CA4">
      <w:pPr>
        <w:pStyle w:val="45"/>
        <w:rPr>
          <w:rFonts w:hint="eastAsia"/>
        </w:rPr>
      </w:pPr>
      <w:r>
        <w:rPr>
          <w:rFonts w:hint="eastAsia"/>
        </w:rPr>
        <w:t>本文件实施应用中的疑问，可咨询湖北省住房和城乡建设厅，联系电话：027-68873063，邮箱：</w:t>
      </w:r>
      <w:r>
        <w:t>bkc@hbszjt.net.cn</w:t>
      </w:r>
      <w:r>
        <w:rPr>
          <w:rFonts w:hint="eastAsia"/>
        </w:rPr>
        <w:t>。对本文件的有关修改意见和建议请反馈至中铁大桥局集团有限公司，联系电话：027-84596351，邮箱：107616946@qq.com。</w:t>
      </w:r>
    </w:p>
    <w:p w14:paraId="51842991">
      <w:pPr>
        <w:spacing w:before="79" w:after="79" w:line="288" w:lineRule="auto"/>
        <w:ind w:firstLine="180"/>
        <w:jc w:val="left"/>
        <w:rPr>
          <w:rFonts w:hint="eastAsia" w:asciiTheme="minorEastAsia" w:hAnsiTheme="minorEastAsia" w:cstheme="minorEastAsia"/>
          <w:szCs w:val="21"/>
        </w:rPr>
      </w:pPr>
    </w:p>
    <w:p w14:paraId="0AF9D7CB">
      <w:pPr>
        <w:spacing w:before="79" w:after="79" w:line="288" w:lineRule="auto"/>
        <w:ind w:firstLine="180"/>
        <w:jc w:val="left"/>
      </w:pPr>
    </w:p>
    <w:p w14:paraId="0E210B37">
      <w:pPr>
        <w:pStyle w:val="94"/>
        <w:spacing w:before="400" w:after="480"/>
        <w:rPr>
          <w:rFonts w:hint="eastAsia" w:hAnsi="黑体"/>
          <w:szCs w:val="32"/>
        </w:rPr>
      </w:pPr>
      <w:bookmarkStart w:id="11" w:name="_Toc21780"/>
      <w:bookmarkStart w:id="12" w:name="_Toc208327409"/>
      <w:r>
        <w:rPr>
          <w:rFonts w:hint="eastAsia" w:hAnsi="黑体" w:cs="Arial"/>
          <w:b/>
          <w:szCs w:val="32"/>
        </w:rPr>
        <w:t>引</w:t>
      </w:r>
      <w:r>
        <w:rPr>
          <w:rFonts w:hint="eastAsia" w:hAnsi="黑体"/>
          <w:szCs w:val="32"/>
        </w:rPr>
        <w:t xml:space="preserve">   言</w:t>
      </w:r>
      <w:bookmarkEnd w:id="11"/>
      <w:bookmarkEnd w:id="12"/>
    </w:p>
    <w:p w14:paraId="39273312">
      <w:pPr>
        <w:pStyle w:val="45"/>
        <w:rPr>
          <w:rFonts w:hint="eastAsia"/>
        </w:rPr>
      </w:pPr>
      <w:bookmarkStart w:id="13" w:name="_Toc29105_WPSOffice_Level1"/>
      <w:bookmarkStart w:id="14" w:name="_Hlk167434750"/>
      <w:r>
        <w:rPr>
          <w:rFonts w:hint="eastAsia"/>
        </w:rPr>
        <w:t>根据《湖北省数字住建行动计划（2021-2025 年）》的要求，标准编制组经深入调查研究大节段钢桁梁数字化拼装的工程实践，系统总结相关技术经验，参考国际、国家、行业及湖北省地标，结合湖北省桥梁工程建设实际与技术发展需求，在广泛征求意见的基础上，编制本文件。</w:t>
      </w:r>
    </w:p>
    <w:p w14:paraId="0DD6D8A6">
      <w:pPr>
        <w:pStyle w:val="45"/>
        <w:rPr>
          <w:rFonts w:hint="eastAsia"/>
        </w:rPr>
      </w:pPr>
      <w:r>
        <w:rPr>
          <w:rFonts w:hint="eastAsia"/>
        </w:rPr>
        <w:t>本文件的编制目的是为大节段钢桁梁数字化拼装提供技术支撑：（1）规范三维数字测量、制造尺寸检测、数字化预拼装与误差估计、实际拼装偏差控制等全过程技术要求，确保拼装质量、安全与效率；（2）统一桁段特征点测量、点云处理、模型配准等关键环节的技术标准，减少因方法不统一导致的精度偏差或数据不一致；（3）支撑湖北省桥梁工程领域数字化、智能化建造模式应用，推动 BIM 技术与钢桁梁施工深度融合，形成可复用的数字化拼装技术体系；（4）指导工程各方主体在大节段钢桁梁数字化拼装中的数据采集、处理、共享与质量管控，实现“数字化拼装指导实体拼装”的精准建造。</w:t>
      </w:r>
    </w:p>
    <w:p w14:paraId="32A8CEB4">
      <w:pPr>
        <w:pStyle w:val="45"/>
        <w:rPr>
          <w:rFonts w:hint="eastAsia"/>
        </w:rPr>
      </w:pPr>
      <w:r>
        <w:rPr>
          <w:rFonts w:hint="eastAsia"/>
        </w:rPr>
        <w:t>编制组围绕大节段钢桁梁数字化拼装的技术特点，结合三维激光扫描、点云处理、逆向建模等先进技术应用实践，参考国际先进测量标准与国内钢结构施工规范，特制订本文件。</w:t>
      </w:r>
    </w:p>
    <w:p w14:paraId="3AC1BA85">
      <w:pPr>
        <w:pStyle w:val="45"/>
        <w:rPr>
          <w:rFonts w:hint="eastAsia"/>
        </w:rPr>
      </w:pPr>
      <w:r>
        <w:rPr>
          <w:rFonts w:hint="eastAsia"/>
        </w:rPr>
        <w:t>本文件主要技术内容包括：1. 范围；2. 规范性引用文件；3. 术语；</w:t>
      </w:r>
      <w:bookmarkStart w:id="15" w:name="_Hlk208331770"/>
      <w:r>
        <w:rPr>
          <w:rFonts w:hint="eastAsia"/>
        </w:rPr>
        <w:t>4. 基本要求；5. 三维数字测量方法；6. 制造尺寸检测；7. 数字化预拼装与误差估计；8. 实际拼装偏差控制</w:t>
      </w:r>
      <w:bookmarkEnd w:id="15"/>
      <w:r>
        <w:rPr>
          <w:rFonts w:hint="eastAsia"/>
        </w:rPr>
        <w:t>；9. 标准实施及评价。</w:t>
      </w:r>
    </w:p>
    <w:p w14:paraId="3B9F87E6">
      <w:pPr>
        <w:pStyle w:val="45"/>
        <w:rPr>
          <w:rFonts w:hint="eastAsia"/>
        </w:rPr>
      </w:pPr>
      <w:r>
        <w:rPr>
          <w:rFonts w:hint="eastAsia"/>
        </w:rPr>
        <w:t>本文件面向城市及公路桥梁工程中的政府监管部门、建设单位、设计单位、施工单位、监理单位、运维单位及相关软件平台提供方，提供大节段钢桁梁数字化拼装的完整技术方法，为湖北省桥梁工程基于数字化技术的智能建造提供“数字化拼装与实体拼装联动”的技术基础。</w:t>
      </w:r>
    </w:p>
    <w:p w14:paraId="363577BC">
      <w:pPr>
        <w:pStyle w:val="45"/>
        <w:ind w:firstLine="640"/>
        <w:rPr>
          <w:rStyle w:val="66"/>
        </w:rPr>
        <w:sectPr>
          <w:headerReference r:id="rId7" w:type="first"/>
          <w:headerReference r:id="rId5" w:type="default"/>
          <w:footerReference r:id="rId8" w:type="default"/>
          <w:headerReference r:id="rId6" w:type="even"/>
          <w:pgSz w:w="11905" w:h="16840"/>
          <w:pgMar w:top="1440" w:right="1800" w:bottom="1440" w:left="1800" w:header="720" w:footer="720" w:gutter="0"/>
          <w:pgNumType w:fmt="upperRoman"/>
          <w:cols w:space="720" w:num="1"/>
        </w:sectPr>
      </w:pPr>
    </w:p>
    <w:bookmarkEnd w:id="13"/>
    <w:bookmarkEnd w:id="14"/>
    <w:p w14:paraId="1800849B">
      <w:pPr>
        <w:spacing w:before="79" w:after="79" w:line="288" w:lineRule="auto"/>
        <w:ind w:firstLine="320"/>
        <w:jc w:val="center"/>
        <w:outlineLvl w:val="0"/>
        <w:rPr>
          <w:rFonts w:hint="eastAsia" w:ascii="黑体" w:hAnsi="黑体" w:eastAsia="黑体" w:cs="黑体"/>
          <w:sz w:val="32"/>
          <w:szCs w:val="32"/>
        </w:rPr>
      </w:pPr>
      <w:bookmarkStart w:id="16" w:name="_Toc202888019"/>
      <w:bookmarkStart w:id="17" w:name="_Toc208327410"/>
      <w:r>
        <w:rPr>
          <w:rFonts w:hint="eastAsia" w:ascii="黑体" w:hAnsi="黑体" w:eastAsia="黑体" w:cs="黑体"/>
          <w:sz w:val="32"/>
          <w:szCs w:val="32"/>
        </w:rPr>
        <w:t>大节段钢桁梁数字化拼装技术规程</w:t>
      </w:r>
      <w:bookmarkEnd w:id="16"/>
      <w:bookmarkEnd w:id="17"/>
    </w:p>
    <w:p w14:paraId="7E62E893">
      <w:pPr>
        <w:pStyle w:val="55"/>
        <w:numPr>
          <w:ilvl w:val="0"/>
          <w:numId w:val="0"/>
        </w:numPr>
        <w:rPr>
          <w:rFonts w:hint="eastAsia"/>
        </w:rPr>
      </w:pPr>
      <w:bookmarkStart w:id="18" w:name="_Toc208327411"/>
      <w:bookmarkStart w:id="19" w:name="_Toc10210"/>
      <w:r>
        <w:rPr>
          <w:rFonts w:hint="eastAsia"/>
        </w:rPr>
        <w:t xml:space="preserve">1  </w:t>
      </w:r>
      <w:r>
        <w:t>范围</w:t>
      </w:r>
      <w:bookmarkEnd w:id="18"/>
      <w:bookmarkEnd w:id="19"/>
    </w:p>
    <w:p w14:paraId="7519163C">
      <w:pPr>
        <w:pStyle w:val="45"/>
        <w:rPr>
          <w:rFonts w:hint="eastAsia"/>
        </w:rPr>
      </w:pPr>
      <w:bookmarkStart w:id="20" w:name="_Toc14150"/>
      <w:r>
        <w:rPr>
          <w:rFonts w:hint="eastAsia"/>
        </w:rPr>
        <w:t>本文件规定了大节段钢桁梁数字化拼装的基本方法和要求，旨在规范大节段钢桁梁的数字化拼装过程。</w:t>
      </w:r>
    </w:p>
    <w:p w14:paraId="35399000">
      <w:pPr>
        <w:pStyle w:val="45"/>
        <w:rPr>
          <w:rFonts w:hint="eastAsia"/>
        </w:rPr>
      </w:pPr>
      <w:r>
        <w:rPr>
          <w:rFonts w:hint="eastAsia"/>
        </w:rPr>
        <w:t>本文件适用于城市桥梁大节段钢桁梁的数字化拼装。</w:t>
      </w:r>
    </w:p>
    <w:p w14:paraId="2687513E">
      <w:pPr>
        <w:pStyle w:val="55"/>
        <w:numPr>
          <w:ilvl w:val="0"/>
          <w:numId w:val="0"/>
        </w:numPr>
        <w:rPr>
          <w:rFonts w:hint="eastAsia"/>
        </w:rPr>
      </w:pPr>
      <w:bookmarkStart w:id="21" w:name="_Toc208327412"/>
      <w:r>
        <w:rPr>
          <w:rFonts w:hAnsi="Times New Roman"/>
        </w:rPr>
        <w:t>2</w:t>
      </w:r>
      <w:r>
        <w:rPr>
          <w:rFonts w:hint="eastAsia" w:hAnsi="Times New Roman"/>
        </w:rPr>
        <w:t xml:space="preserve">  </w:t>
      </w:r>
      <w:r>
        <w:t>规范性引用文件</w:t>
      </w:r>
      <w:bookmarkEnd w:id="20"/>
      <w:bookmarkEnd w:id="21"/>
    </w:p>
    <w:p w14:paraId="0FF910C5">
      <w:pPr>
        <w:pStyle w:val="45"/>
        <w:rPr>
          <w:rFonts w:hint="eastAsia"/>
        </w:rPr>
      </w:pPr>
      <w:r>
        <w:rPr>
          <w:rFonts w:hint="eastAsia"/>
        </w:rPr>
        <w:t>下列文件对于本文件的应用是必不可少的。凡是注明日期的引用文件，仅注日期的版本适用于本文件；凡是不注日期的引用文件，其最新版本（包括所有的修改单）适用于本文件。</w:t>
      </w:r>
    </w:p>
    <w:p w14:paraId="4C80B149">
      <w:pPr>
        <w:pStyle w:val="45"/>
        <w:rPr>
          <w:rFonts w:hint="eastAsia"/>
        </w:rPr>
      </w:pPr>
      <w:r>
        <w:rPr>
          <w:rFonts w:hint="eastAsia"/>
        </w:rPr>
        <w:t>GB 50017  钢结构设计标准</w:t>
      </w:r>
    </w:p>
    <w:p w14:paraId="664CBEA4">
      <w:pPr>
        <w:pStyle w:val="45"/>
        <w:rPr>
          <w:rFonts w:hint="eastAsia"/>
        </w:rPr>
      </w:pPr>
      <w:r>
        <w:rPr>
          <w:rFonts w:hint="eastAsia"/>
        </w:rPr>
        <w:t>GB 50167  摄影测量规范</w:t>
      </w:r>
    </w:p>
    <w:p w14:paraId="5881F46E">
      <w:pPr>
        <w:pStyle w:val="45"/>
        <w:rPr>
          <w:rFonts w:hint="eastAsia"/>
        </w:rPr>
      </w:pPr>
      <w:r>
        <w:rPr>
          <w:rFonts w:hint="eastAsia"/>
        </w:rPr>
        <w:t>GB 50205  钢结构工程施工质量验收规范</w:t>
      </w:r>
    </w:p>
    <w:p w14:paraId="13E1322D">
      <w:pPr>
        <w:pStyle w:val="45"/>
        <w:rPr>
          <w:rFonts w:hint="eastAsia"/>
        </w:rPr>
      </w:pPr>
      <w:r>
        <w:rPr>
          <w:rFonts w:hint="eastAsia"/>
        </w:rPr>
        <w:t>GB/T 50621  钢结构现场检测技术标准</w:t>
      </w:r>
    </w:p>
    <w:p w14:paraId="169B2C94">
      <w:pPr>
        <w:pStyle w:val="45"/>
        <w:rPr>
          <w:rFonts w:hint="eastAsia"/>
        </w:rPr>
      </w:pPr>
      <w:r>
        <w:rPr>
          <w:rFonts w:hint="eastAsia"/>
        </w:rPr>
        <w:t>GB 55018  工程测量通用规范</w:t>
      </w:r>
    </w:p>
    <w:p w14:paraId="31A418CD">
      <w:pPr>
        <w:pStyle w:val="45"/>
        <w:rPr>
          <w:rFonts w:hint="eastAsia"/>
        </w:rPr>
      </w:pPr>
      <w:r>
        <w:rPr>
          <w:rFonts w:hint="eastAsia"/>
        </w:rPr>
        <w:t>JTG/T 365  公路钢结构桥梁制造和安装施工规范</w:t>
      </w:r>
    </w:p>
    <w:p w14:paraId="38DBA7D0">
      <w:pPr>
        <w:pStyle w:val="45"/>
        <w:rPr>
          <w:rFonts w:hint="eastAsia"/>
        </w:rPr>
      </w:pPr>
      <w:r>
        <w:rPr>
          <w:rFonts w:hint="eastAsia"/>
        </w:rPr>
        <w:t>JGJ 8  钢结构高强度螺栓连接的设计、施工及验收规程</w:t>
      </w:r>
    </w:p>
    <w:p w14:paraId="5573B5A1">
      <w:pPr>
        <w:pStyle w:val="45"/>
        <w:rPr>
          <w:rFonts w:hint="eastAsia"/>
        </w:rPr>
      </w:pPr>
      <w:r>
        <w:rPr>
          <w:rFonts w:hint="eastAsia"/>
        </w:rPr>
        <w:t>JGJ 81  建筑钢结构焊接技术规程</w:t>
      </w:r>
    </w:p>
    <w:p w14:paraId="48EE4AAA">
      <w:pPr>
        <w:pStyle w:val="55"/>
        <w:numPr>
          <w:ilvl w:val="0"/>
          <w:numId w:val="0"/>
        </w:numPr>
        <w:rPr>
          <w:rFonts w:hint="eastAsia"/>
        </w:rPr>
      </w:pPr>
      <w:bookmarkStart w:id="22" w:name="_Toc12544"/>
      <w:bookmarkStart w:id="23" w:name="_Toc149672395"/>
      <w:bookmarkStart w:id="24" w:name="_Toc208327413"/>
      <w:r>
        <w:rPr>
          <w:rFonts w:hAnsi="Times New Roman"/>
        </w:rPr>
        <w:t>3</w:t>
      </w:r>
      <w:r>
        <w:rPr>
          <w:rFonts w:hint="eastAsia" w:hAnsi="Times New Roman"/>
        </w:rPr>
        <w:t xml:space="preserve">  </w:t>
      </w:r>
      <w:r>
        <w:t>术语</w:t>
      </w:r>
      <w:bookmarkEnd w:id="22"/>
      <w:bookmarkEnd w:id="23"/>
      <w:r>
        <w:rPr>
          <w:rFonts w:hint="eastAsia"/>
        </w:rPr>
        <w:t>和定义</w:t>
      </w:r>
      <w:bookmarkEnd w:id="24"/>
    </w:p>
    <w:p w14:paraId="5E3212B8">
      <w:pPr>
        <w:widowControl/>
        <w:spacing w:line="360" w:lineRule="auto"/>
        <w:rPr>
          <w:rFonts w:ascii="Times New Roman" w:hAnsi="Times New Roman" w:eastAsia="黑体" w:cs="Times New Roman"/>
          <w:bCs/>
          <w:szCs w:val="21"/>
        </w:rPr>
      </w:pPr>
      <w:bookmarkStart w:id="25" w:name="_Toc30924"/>
      <w:bookmarkEnd w:id="25"/>
      <w:bookmarkStart w:id="26" w:name="_Toc25619"/>
      <w:bookmarkEnd w:id="26"/>
      <w:bookmarkStart w:id="27" w:name="_Toc15239"/>
      <w:bookmarkEnd w:id="27"/>
      <w:bookmarkStart w:id="28" w:name="_Toc25160"/>
      <w:bookmarkEnd w:id="28"/>
      <w:r>
        <w:rPr>
          <w:rFonts w:hint="eastAsia" w:ascii="Times New Roman" w:hAnsi="Times New Roman" w:eastAsia="黑体" w:cs="Times New Roman"/>
          <w:bCs/>
          <w:szCs w:val="21"/>
        </w:rPr>
        <w:t>3.1</w:t>
      </w:r>
      <w:r>
        <w:rPr>
          <w:rFonts w:ascii="黑体" w:hAnsi="Times New Roman" w:eastAsia="宋体"/>
        </w:rPr>
        <w:t>　</w:t>
      </w:r>
      <w:bookmarkStart w:id="29" w:name="_Hlk202883712"/>
    </w:p>
    <w:p w14:paraId="7F6FD6DD">
      <w:pPr>
        <w:pStyle w:val="57"/>
        <w:spacing w:before="84" w:after="84"/>
        <w:ind w:firstLine="420"/>
        <w:rPr>
          <w:rFonts w:hint="default" w:ascii="Times New Roman" w:hAnsi="Times New Roman" w:cs="Times New Roman"/>
          <w:bCs/>
        </w:rPr>
      </w:pPr>
      <w:r>
        <w:rPr>
          <w:rFonts w:ascii="Times New Roman" w:hAnsi="Times New Roman" w:cs="Times New Roman"/>
          <w:bCs/>
        </w:rPr>
        <w:t>大节段钢桁梁 Large section steel truss beam</w:t>
      </w:r>
    </w:p>
    <w:p w14:paraId="4DE48023">
      <w:pPr>
        <w:pStyle w:val="45"/>
        <w:rPr>
          <w:rFonts w:ascii="Times New Roman" w:hAnsi="Times New Roman"/>
        </w:rPr>
      </w:pPr>
      <w:r>
        <w:rPr>
          <w:rFonts w:hint="eastAsia" w:ascii="Times New Roman" w:hAnsi="Times New Roman"/>
        </w:rPr>
        <w:t>在拼装场内完成主桁架、桥面板及横联等关键构件的焊接或栓接作业，随后利用大型运输吊装设备，将其整体移送至</w:t>
      </w:r>
      <w:r>
        <w:rPr>
          <w:rFonts w:hint="eastAsia"/>
        </w:rPr>
        <w:t>桥位</w:t>
      </w:r>
      <w:r>
        <w:rPr>
          <w:rFonts w:hint="eastAsia" w:ascii="Times New Roman" w:hAnsi="Times New Roman"/>
        </w:rPr>
        <w:t>并进行精确安装，形成稳定的空间结构体。</w:t>
      </w:r>
    </w:p>
    <w:bookmarkEnd w:id="29"/>
    <w:p w14:paraId="64DF7088">
      <w:pPr>
        <w:widowControl/>
        <w:spacing w:line="360" w:lineRule="auto"/>
        <w:rPr>
          <w:rFonts w:ascii="Times New Roman" w:hAnsi="Times New Roman" w:eastAsia="黑体" w:cs="Times New Roman"/>
          <w:bCs/>
          <w:szCs w:val="21"/>
        </w:rPr>
      </w:pPr>
      <w:r>
        <w:rPr>
          <w:rFonts w:hint="eastAsia" w:ascii="Times New Roman" w:hAnsi="Times New Roman" w:eastAsia="黑体" w:cs="Times New Roman"/>
          <w:bCs/>
          <w:szCs w:val="21"/>
        </w:rPr>
        <w:t>3.2</w:t>
      </w:r>
      <w:bookmarkStart w:id="30" w:name="OLE_LINK6"/>
      <w:r>
        <w:rPr>
          <w:rFonts w:ascii="黑体" w:hAnsi="Times New Roman" w:eastAsia="宋体"/>
        </w:rPr>
        <w:t>　</w:t>
      </w:r>
      <w:bookmarkEnd w:id="30"/>
      <w:bookmarkStart w:id="31" w:name="_Hlk202883775"/>
    </w:p>
    <w:p w14:paraId="5E0FA76F">
      <w:pPr>
        <w:pStyle w:val="57"/>
        <w:spacing w:before="84" w:after="84"/>
        <w:ind w:firstLine="420"/>
        <w:rPr>
          <w:rFonts w:hint="default" w:ascii="Times New Roman" w:hAnsi="Times New Roman" w:cs="Times New Roman"/>
          <w:bCs/>
        </w:rPr>
      </w:pPr>
      <w:r>
        <w:rPr>
          <w:rFonts w:ascii="Times New Roman" w:hAnsi="Times New Roman" w:cs="Times New Roman"/>
          <w:bCs/>
        </w:rPr>
        <w:t>桁段 Truss section</w:t>
      </w:r>
    </w:p>
    <w:p w14:paraId="6E939B79">
      <w:pPr>
        <w:pStyle w:val="45"/>
        <w:rPr>
          <w:rFonts w:ascii="Times New Roman" w:hAnsi="Times New Roman"/>
        </w:rPr>
      </w:pPr>
      <w:r>
        <w:rPr>
          <w:rFonts w:hint="eastAsia" w:ascii="Times New Roman" w:hAnsi="Times New Roman"/>
        </w:rPr>
        <w:t>钢桁梁在制造、拼装及施工过程中，按照结构划分、施工便利性或运输限制等要求，分割形成的具有独立结构特征的</w:t>
      </w:r>
      <w:r>
        <w:rPr>
          <w:rFonts w:hint="eastAsia"/>
        </w:rPr>
        <w:t>单元段</w:t>
      </w:r>
      <w:r>
        <w:rPr>
          <w:rFonts w:hint="eastAsia" w:ascii="Times New Roman" w:hAnsi="Times New Roman"/>
        </w:rPr>
        <w:t>。</w:t>
      </w:r>
      <w:bookmarkEnd w:id="31"/>
    </w:p>
    <w:p w14:paraId="7509DF61">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3</w:t>
      </w:r>
      <w:r>
        <w:rPr>
          <w:rFonts w:ascii="黑体" w:hAnsi="Times New Roman" w:eastAsia="宋体"/>
        </w:rPr>
        <w:t>　</w:t>
      </w:r>
    </w:p>
    <w:p w14:paraId="2F707F84">
      <w:pPr>
        <w:pStyle w:val="57"/>
        <w:spacing w:before="84" w:after="84"/>
        <w:ind w:firstLine="420"/>
        <w:rPr>
          <w:rFonts w:hint="default" w:ascii="Times New Roman" w:hAnsi="Times New Roman" w:cs="Times New Roman"/>
          <w:bCs/>
        </w:rPr>
      </w:pPr>
      <w:r>
        <w:rPr>
          <w:rFonts w:ascii="Times New Roman" w:hAnsi="Times New Roman" w:cs="Times New Roman"/>
          <w:bCs/>
        </w:rPr>
        <w:t>三维数字</w:t>
      </w:r>
      <w:r>
        <w:t>测量</w:t>
      </w:r>
      <w:r>
        <w:rPr>
          <w:rFonts w:ascii="Times New Roman" w:hAnsi="Times New Roman" w:cs="Times New Roman"/>
          <w:bCs/>
        </w:rPr>
        <w:t xml:space="preserve"> 3D Digital Measurement</w:t>
      </w:r>
    </w:p>
    <w:p w14:paraId="2869A5EB">
      <w:pPr>
        <w:pStyle w:val="45"/>
        <w:rPr>
          <w:rFonts w:ascii="Times New Roman" w:hAnsi="Times New Roman"/>
        </w:rPr>
      </w:pPr>
      <w:r>
        <w:rPr>
          <w:rFonts w:hint="eastAsia" w:ascii="Times New Roman" w:hAnsi="Times New Roman"/>
        </w:rPr>
        <w:t>该技术采用先进手段和设备，</w:t>
      </w:r>
      <w:r>
        <w:rPr>
          <w:rFonts w:hint="eastAsia"/>
        </w:rPr>
        <w:t>能够</w:t>
      </w:r>
      <w:r>
        <w:rPr>
          <w:rFonts w:hint="eastAsia" w:ascii="Times New Roman" w:hAnsi="Times New Roman"/>
        </w:rPr>
        <w:t>精确量化捕捉物体的三维空间尺寸与形状信息，并将其转化为高精度的数字模型。</w:t>
      </w:r>
    </w:p>
    <w:p w14:paraId="68178FAE">
      <w:pPr>
        <w:widowControl/>
        <w:spacing w:line="360" w:lineRule="auto"/>
        <w:rPr>
          <w:rFonts w:ascii="Times New Roman" w:hAnsi="Times New Roman" w:eastAsia="黑体" w:cs="Times New Roman"/>
          <w:bCs/>
          <w:szCs w:val="21"/>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4</w:t>
      </w:r>
      <w:r>
        <w:rPr>
          <w:rFonts w:ascii="黑体" w:hAnsi="Times New Roman" w:eastAsia="宋体"/>
        </w:rPr>
        <w:t>　</w:t>
      </w:r>
    </w:p>
    <w:p w14:paraId="07867C0C">
      <w:pPr>
        <w:pStyle w:val="57"/>
        <w:spacing w:before="84" w:after="84"/>
        <w:ind w:firstLine="420"/>
        <w:rPr>
          <w:rFonts w:hint="default" w:ascii="Times New Roman" w:hAnsi="Times New Roman" w:cs="Times New Roman"/>
          <w:bCs/>
        </w:rPr>
      </w:pPr>
      <w:r>
        <w:rPr>
          <w:rFonts w:ascii="Times New Roman" w:hAnsi="Times New Roman" w:cs="Times New Roman"/>
          <w:bCs/>
        </w:rPr>
        <w:t>数字化预</w:t>
      </w:r>
      <w:r>
        <w:t>拼接</w:t>
      </w:r>
      <w:r>
        <w:rPr>
          <w:rFonts w:ascii="Times New Roman" w:hAnsi="Times New Roman" w:cs="Times New Roman"/>
          <w:bCs/>
        </w:rPr>
        <w:t xml:space="preserve"> Digital pre splicing </w:t>
      </w:r>
    </w:p>
    <w:p w14:paraId="6170C7AD">
      <w:pPr>
        <w:pStyle w:val="45"/>
        <w:rPr>
          <w:rFonts w:ascii="Times New Roman" w:hAnsi="Times New Roman"/>
        </w:rPr>
      </w:pPr>
      <w:r>
        <w:rPr>
          <w:rFonts w:hint="eastAsia" w:ascii="Times New Roman" w:hAnsi="Times New Roman"/>
        </w:rPr>
        <w:t>通过数字化技术手段，依据精确的数字模型、详尽的数据参数及特定算法，对多个桁段等部件实施精准定位、连接与组装作业。</w:t>
      </w:r>
    </w:p>
    <w:p w14:paraId="78479E1C">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5</w:t>
      </w:r>
      <w:r>
        <w:rPr>
          <w:rFonts w:ascii="黑体" w:hAnsi="Times New Roman" w:eastAsia="宋体"/>
        </w:rPr>
        <w:t>　</w:t>
      </w:r>
    </w:p>
    <w:p w14:paraId="1C26F2FC">
      <w:pPr>
        <w:pStyle w:val="57"/>
        <w:spacing w:before="84" w:after="84"/>
        <w:ind w:firstLine="420"/>
        <w:rPr>
          <w:rFonts w:hint="default" w:ascii="Times New Roman" w:hAnsi="Times New Roman" w:cs="Times New Roman"/>
          <w:bCs/>
        </w:rPr>
      </w:pPr>
      <w:r>
        <w:rPr>
          <w:rFonts w:ascii="Times New Roman" w:hAnsi="Times New Roman" w:cs="Times New Roman"/>
          <w:bCs/>
        </w:rPr>
        <w:t>桁段特征点 Truss Segment Feature Points</w:t>
      </w:r>
    </w:p>
    <w:p w14:paraId="2F074D8B">
      <w:pPr>
        <w:pStyle w:val="45"/>
        <w:rPr>
          <w:rFonts w:ascii="Times New Roman" w:hAnsi="Times New Roman"/>
        </w:rPr>
      </w:pPr>
      <w:r>
        <w:rPr>
          <w:rFonts w:hint="eastAsia" w:ascii="Times New Roman" w:hAnsi="Times New Roman"/>
        </w:rPr>
        <w:t>桁段中通过三维数字测量精确标定的</w:t>
      </w:r>
      <w:r>
        <w:rPr>
          <w:rFonts w:hint="eastAsia"/>
        </w:rPr>
        <w:t>关键</w:t>
      </w:r>
      <w:r>
        <w:rPr>
          <w:rFonts w:hint="eastAsia" w:ascii="Times New Roman" w:hAnsi="Times New Roman"/>
        </w:rPr>
        <w:t>几何基准点（例如螺孔中心和角点），专门用于数字化拼装过程中的高精度定位和模型匹配。</w:t>
      </w:r>
    </w:p>
    <w:p w14:paraId="30F531F4">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6</w:t>
      </w:r>
      <w:r>
        <w:rPr>
          <w:rFonts w:ascii="黑体" w:hAnsi="Times New Roman" w:eastAsia="宋体"/>
        </w:rPr>
        <w:t>　</w:t>
      </w:r>
    </w:p>
    <w:p w14:paraId="39DFFA97">
      <w:pPr>
        <w:pStyle w:val="57"/>
        <w:spacing w:before="84" w:after="84"/>
        <w:ind w:firstLine="420"/>
        <w:rPr>
          <w:rFonts w:hint="default" w:ascii="Times New Roman" w:hAnsi="Times New Roman" w:cs="Times New Roman"/>
          <w:bCs/>
        </w:rPr>
      </w:pPr>
      <w:r>
        <w:rPr>
          <w:rFonts w:ascii="Times New Roman" w:hAnsi="Times New Roman" w:cs="Times New Roman"/>
          <w:bCs/>
        </w:rPr>
        <w:t xml:space="preserve">点云配准 </w:t>
      </w:r>
      <w:r>
        <w:t>Point</w:t>
      </w:r>
      <w:r>
        <w:rPr>
          <w:rFonts w:ascii="Times New Roman" w:hAnsi="Times New Roman" w:cs="Times New Roman"/>
          <w:bCs/>
        </w:rPr>
        <w:t xml:space="preserve"> Cloud Registration</w:t>
      </w:r>
    </w:p>
    <w:p w14:paraId="54D5EF58">
      <w:pPr>
        <w:pStyle w:val="45"/>
        <w:rPr>
          <w:rFonts w:ascii="Times New Roman" w:hAnsi="Times New Roman"/>
        </w:rPr>
      </w:pPr>
      <w:r>
        <w:rPr>
          <w:rFonts w:hint="eastAsia" w:ascii="Times New Roman" w:hAnsi="Times New Roman"/>
        </w:rPr>
        <w:t>该过程涉及将从不同视角或位置获取的多组点云数据，通过坐标变换和对齐技术，精确融合到统一坐标系下。</w:t>
      </w:r>
    </w:p>
    <w:p w14:paraId="65F3B8AA">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7</w:t>
      </w:r>
      <w:r>
        <w:rPr>
          <w:rFonts w:ascii="黑体" w:hAnsi="Times New Roman" w:eastAsia="宋体"/>
        </w:rPr>
        <w:t>　</w:t>
      </w:r>
    </w:p>
    <w:p w14:paraId="170D9309">
      <w:pPr>
        <w:pStyle w:val="57"/>
        <w:spacing w:before="84" w:after="84"/>
        <w:ind w:firstLine="420"/>
        <w:rPr>
          <w:rFonts w:hint="default" w:ascii="Times New Roman" w:hAnsi="Times New Roman" w:cs="Times New Roman"/>
          <w:bCs/>
        </w:rPr>
      </w:pPr>
      <w:r>
        <w:rPr>
          <w:rFonts w:ascii="Times New Roman" w:hAnsi="Times New Roman" w:cs="Times New Roman"/>
          <w:bCs/>
        </w:rPr>
        <w:t>多尺度点云融合 Multi-scale Point Cloud Fusion</w:t>
      </w:r>
    </w:p>
    <w:p w14:paraId="3465C745">
      <w:pPr>
        <w:pStyle w:val="45"/>
        <w:rPr>
          <w:rFonts w:ascii="Times New Roman" w:hAnsi="Times New Roman"/>
        </w:rPr>
      </w:pPr>
      <w:r>
        <w:rPr>
          <w:rFonts w:hint="eastAsia" w:ascii="Times New Roman" w:hAnsi="Times New Roman"/>
        </w:rPr>
        <w:t>对不同分辨率和不同尺度级别的多个点云数据进行融合，从而生成更加精确且全面的三维模型。</w:t>
      </w:r>
    </w:p>
    <w:p w14:paraId="474C6171">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8</w:t>
      </w:r>
      <w:r>
        <w:rPr>
          <w:rFonts w:ascii="黑体" w:hAnsi="Times New Roman" w:eastAsia="宋体"/>
        </w:rPr>
        <w:t>　</w:t>
      </w:r>
    </w:p>
    <w:p w14:paraId="73075180">
      <w:pPr>
        <w:pStyle w:val="57"/>
        <w:spacing w:before="84" w:after="84"/>
        <w:ind w:firstLine="420"/>
        <w:rPr>
          <w:rFonts w:hint="default" w:ascii="Times New Roman" w:hAnsi="Times New Roman" w:cs="Times New Roman"/>
          <w:bCs/>
        </w:rPr>
      </w:pPr>
      <w:r>
        <w:rPr>
          <w:rFonts w:ascii="Times New Roman" w:hAnsi="Times New Roman" w:cs="Times New Roman"/>
          <w:bCs/>
        </w:rPr>
        <w:t>点云</w:t>
      </w:r>
      <w:r>
        <w:t>聚类</w:t>
      </w:r>
      <w:r>
        <w:rPr>
          <w:rFonts w:ascii="Times New Roman" w:hAnsi="Times New Roman" w:cs="Times New Roman"/>
          <w:bCs/>
        </w:rPr>
        <w:t>分割 Point Cloud Cluster Segmentation</w:t>
      </w:r>
    </w:p>
    <w:p w14:paraId="34D0B496">
      <w:pPr>
        <w:pStyle w:val="45"/>
        <w:rPr>
          <w:rFonts w:ascii="Times New Roman" w:hAnsi="Times New Roman"/>
        </w:rPr>
      </w:pPr>
      <w:r>
        <w:rPr>
          <w:rFonts w:hint="eastAsia" w:ascii="Times New Roman" w:hAnsi="Times New Roman"/>
        </w:rPr>
        <w:t>通过聚类算法将三维点云数据按照点</w:t>
      </w:r>
      <w:r>
        <w:rPr>
          <w:rFonts w:hint="eastAsia"/>
        </w:rPr>
        <w:t>之间</w:t>
      </w:r>
      <w:r>
        <w:rPr>
          <w:rFonts w:hint="eastAsia" w:ascii="Times New Roman" w:hAnsi="Times New Roman"/>
        </w:rPr>
        <w:t>的几何特征相似性自动划分成若干个有区别的簇或分割区域的过程。</w:t>
      </w:r>
    </w:p>
    <w:p w14:paraId="7524D278">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9</w:t>
      </w:r>
      <w:r>
        <w:rPr>
          <w:rFonts w:ascii="黑体" w:hAnsi="Times New Roman" w:eastAsia="宋体"/>
        </w:rPr>
        <w:t>　</w:t>
      </w:r>
    </w:p>
    <w:p w14:paraId="17CA2F59">
      <w:pPr>
        <w:pStyle w:val="57"/>
        <w:spacing w:before="84" w:after="84"/>
        <w:ind w:firstLine="420"/>
        <w:rPr>
          <w:rFonts w:hint="default" w:ascii="Times New Roman" w:hAnsi="Times New Roman" w:cs="Times New Roman"/>
          <w:bCs/>
        </w:rPr>
      </w:pPr>
      <w:r>
        <w:rPr>
          <w:rFonts w:ascii="Times New Roman" w:hAnsi="Times New Roman" w:cs="Times New Roman"/>
          <w:bCs/>
        </w:rPr>
        <w:t>逆向建模 Reverse Engineering</w:t>
      </w:r>
    </w:p>
    <w:p w14:paraId="5CFCE76F">
      <w:pPr>
        <w:pStyle w:val="45"/>
        <w:rPr>
          <w:rFonts w:ascii="Times New Roman" w:hAnsi="Times New Roman"/>
        </w:rPr>
      </w:pPr>
      <w:r>
        <w:rPr>
          <w:rFonts w:hint="eastAsia" w:ascii="Times New Roman" w:hAnsi="Times New Roman"/>
        </w:rPr>
        <w:t>从现有物理对象或已建成的模型中获取数据，并据此在计算机中重建相应的三维模型的过程。</w:t>
      </w:r>
    </w:p>
    <w:p w14:paraId="7E56FE98">
      <w:pPr>
        <w:pStyle w:val="55"/>
        <w:numPr>
          <w:ilvl w:val="0"/>
          <w:numId w:val="0"/>
        </w:numPr>
        <w:rPr>
          <w:rFonts w:hint="eastAsia"/>
        </w:rPr>
      </w:pPr>
      <w:bookmarkStart w:id="32" w:name="_Toc1501"/>
      <w:bookmarkEnd w:id="32"/>
      <w:bookmarkStart w:id="33" w:name="_Toc32396"/>
      <w:bookmarkEnd w:id="33"/>
      <w:bookmarkStart w:id="34" w:name="_Toc23601"/>
      <w:bookmarkEnd w:id="34"/>
      <w:bookmarkStart w:id="35" w:name="_Toc16926"/>
      <w:bookmarkEnd w:id="35"/>
      <w:bookmarkStart w:id="36" w:name="_Toc208327414"/>
      <w:bookmarkStart w:id="37" w:name="_Toc4383"/>
      <w:bookmarkStart w:id="38" w:name="_Toc149672436"/>
      <w:r>
        <w:rPr>
          <w:rFonts w:hAnsi="Times New Roman"/>
        </w:rPr>
        <w:t>4</w:t>
      </w:r>
      <w:r>
        <w:rPr>
          <w:rFonts w:hint="eastAsia" w:hAnsi="Times New Roman"/>
        </w:rPr>
        <w:t xml:space="preserve">  </w:t>
      </w:r>
      <w:r>
        <w:rPr>
          <w:rFonts w:hint="eastAsia"/>
        </w:rPr>
        <w:t>基本要求</w:t>
      </w:r>
      <w:bookmarkEnd w:id="36"/>
      <w:bookmarkEnd w:id="37"/>
      <w:bookmarkEnd w:id="38"/>
      <w:bookmarkStart w:id="39" w:name="_Toc22992"/>
    </w:p>
    <w:bookmarkEnd w:id="39"/>
    <w:p w14:paraId="1BA0C2D7">
      <w:pPr>
        <w:pStyle w:val="115"/>
        <w:numPr>
          <w:ilvl w:val="2"/>
          <w:numId w:val="0"/>
        </w:numPr>
        <w:spacing w:before="79" w:after="79"/>
        <w:rPr>
          <w:rFonts w:hint="default" w:ascii="Times New Roman" w:hAnsi="Times New Roman" w:cs="Times New Roman"/>
          <w:szCs w:val="20"/>
        </w:rPr>
      </w:pPr>
      <w:bookmarkStart w:id="40" w:name="_Toc29844"/>
      <w:r>
        <w:rPr>
          <w:rFonts w:ascii="黑体" w:hAnsi="黑体" w:eastAsia="黑体" w:cs="黑体"/>
        </w:rPr>
        <w:t>4.1</w:t>
      </w:r>
      <w:r>
        <w:rPr>
          <w:rFonts w:hint="default" w:ascii="黑体" w:hAnsi="Times New Roman"/>
        </w:rPr>
        <w:t>　</w:t>
      </w:r>
      <w:r>
        <w:rPr>
          <w:rFonts w:ascii="Times New Roman" w:hAnsi="Times New Roman" w:cs="Times New Roman"/>
          <w:szCs w:val="20"/>
        </w:rPr>
        <w:t>数字化拼装技术应当包含三维</w:t>
      </w:r>
      <w:r>
        <w:rPr>
          <w:rFonts w:cs="宋体"/>
        </w:rPr>
        <w:t>测量</w:t>
      </w:r>
      <w:r>
        <w:rPr>
          <w:rFonts w:ascii="Times New Roman" w:hAnsi="Times New Roman" w:cs="Times New Roman"/>
          <w:szCs w:val="20"/>
        </w:rPr>
        <w:t>、制造尺寸检测、数字化预拼装与误差估计等部分，针对大节段钢桁梁开展逆向建模与误差评估，指导实际拼装，并宜遵循图1所述技术流程。</w:t>
      </w:r>
    </w:p>
    <w:p w14:paraId="086D9E53">
      <w:pPr>
        <w:widowControl/>
        <w:autoSpaceDE w:val="0"/>
        <w:autoSpaceDN w:val="0"/>
        <w:adjustRightInd w:val="0"/>
        <w:spacing w:line="360" w:lineRule="auto"/>
        <w:jc w:val="center"/>
        <w:rPr>
          <w:rFonts w:ascii="宋体" w:hAnsi="Times New Roman" w:eastAsia="宋体" w:cs="Times New Roman"/>
          <w:szCs w:val="20"/>
        </w:rPr>
      </w:pPr>
      <w:r>
        <w:rPr>
          <w:rFonts w:ascii="宋体" w:hAnsi="Times New Roman" w:eastAsia="宋体" w:cs="Times New Roman"/>
          <w:szCs w:val="20"/>
        </w:rPr>
        <w:object>
          <v:shape id="_x0000_i1025" o:spt="75" type="#_x0000_t75" style="height:159.75pt;width:380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14:paraId="5482534F">
      <w:pPr>
        <w:pStyle w:val="12"/>
        <w:spacing w:before="120" w:after="120"/>
        <w:rPr>
          <w:rFonts w:hint="eastAsia"/>
        </w:rPr>
      </w:pPr>
      <w:r>
        <w:rPr>
          <w:rFonts w:hint="eastAsia"/>
        </w:rPr>
        <w:t>图 1  数字化拼装技术流程</w:t>
      </w:r>
    </w:p>
    <w:p w14:paraId="2B9ED217">
      <w:pPr>
        <w:pStyle w:val="115"/>
        <w:numPr>
          <w:ilvl w:val="2"/>
          <w:numId w:val="0"/>
        </w:numPr>
        <w:spacing w:before="79" w:after="79"/>
        <w:rPr>
          <w:rFonts w:hint="default" w:ascii="Times New Roman" w:hAnsi="Times New Roman" w:cs="Times New Roman"/>
          <w:szCs w:val="20"/>
        </w:rPr>
      </w:pPr>
      <w:r>
        <w:rPr>
          <w:rFonts w:ascii="黑体" w:hAnsi="黑体" w:eastAsia="黑体" w:cs="黑体"/>
        </w:rPr>
        <w:t>4.2</w:t>
      </w:r>
      <w:r>
        <w:rPr>
          <w:rFonts w:hint="default" w:ascii="黑体" w:hAnsi="Times New Roman"/>
        </w:rPr>
        <w:t>　</w:t>
      </w:r>
      <w:r>
        <w:rPr>
          <w:rFonts w:ascii="Times New Roman" w:hAnsi="Times New Roman" w:cs="Times New Roman"/>
          <w:szCs w:val="20"/>
        </w:rPr>
        <w:t>根据工程拼装质量控制标准确定</w:t>
      </w:r>
      <w:r>
        <w:rPr>
          <w:rFonts w:cs="宋体"/>
        </w:rPr>
        <w:t>测量精度</w:t>
      </w:r>
      <w:r>
        <w:rPr>
          <w:rFonts w:ascii="Times New Roman" w:hAnsi="Times New Roman" w:cs="Times New Roman"/>
          <w:szCs w:val="20"/>
        </w:rPr>
        <w:t>要求，根据目标选择测量手段以及拼装方法。</w:t>
      </w:r>
    </w:p>
    <w:bookmarkEnd w:id="40"/>
    <w:p w14:paraId="733E26A7">
      <w:pPr>
        <w:pStyle w:val="55"/>
        <w:numPr>
          <w:ilvl w:val="0"/>
          <w:numId w:val="0"/>
        </w:numPr>
        <w:rPr>
          <w:rFonts w:hint="eastAsia"/>
        </w:rPr>
      </w:pPr>
      <w:bookmarkStart w:id="41" w:name="_Toc149672437"/>
      <w:bookmarkStart w:id="42" w:name="_Toc7037"/>
      <w:bookmarkStart w:id="43" w:name="_Toc208327415"/>
      <w:r>
        <w:rPr>
          <w:rFonts w:hAnsi="Times New Roman"/>
        </w:rPr>
        <w:t>5</w:t>
      </w:r>
      <w:r>
        <w:rPr>
          <w:rFonts w:hint="eastAsia" w:hAnsi="Times New Roman"/>
        </w:rPr>
        <w:t xml:space="preserve">  </w:t>
      </w:r>
      <w:bookmarkEnd w:id="41"/>
      <w:bookmarkEnd w:id="42"/>
      <w:r>
        <w:rPr>
          <w:rFonts w:hint="eastAsia"/>
        </w:rPr>
        <w:t>三维数字测量方法</w:t>
      </w:r>
      <w:bookmarkEnd w:id="43"/>
    </w:p>
    <w:p w14:paraId="6A39EA32">
      <w:pPr>
        <w:pStyle w:val="121"/>
        <w:numPr>
          <w:ilvl w:val="2"/>
          <w:numId w:val="0"/>
        </w:numPr>
        <w:spacing w:before="120" w:after="120"/>
        <w:rPr>
          <w:rFonts w:hint="eastAsia"/>
        </w:rPr>
      </w:pPr>
      <w:bookmarkStart w:id="44" w:name="_Toc208327416"/>
      <w:bookmarkStart w:id="45" w:name="_Toc149672665"/>
      <w:bookmarkStart w:id="46" w:name="_Toc11210"/>
      <w:bookmarkStart w:id="47" w:name="_Toc149672438"/>
      <w:r>
        <w:rPr>
          <w:rFonts w:hint="eastAsia" w:ascii="黑体" w:hAnsi="Times New Roman" w:eastAsia="宋体"/>
        </w:rPr>
        <w:t>5</w:t>
      </w:r>
      <w:r>
        <w:rPr>
          <w:rFonts w:ascii="黑体" w:hAnsi="Times New Roman" w:eastAsia="宋体"/>
        </w:rPr>
        <w:t>.</w:t>
      </w:r>
      <w:r>
        <w:rPr>
          <w:rFonts w:hint="eastAsia" w:ascii="黑体" w:hAnsi="Times New Roman" w:eastAsia="宋体"/>
        </w:rPr>
        <w:t>1</w:t>
      </w:r>
      <w:r>
        <w:rPr>
          <w:rFonts w:ascii="黑体" w:hAnsi="黑体" w:cs="黑体"/>
          <w:szCs w:val="22"/>
        </w:rPr>
        <w:t>　</w:t>
      </w:r>
      <w:r>
        <w:t>一般规定</w:t>
      </w:r>
      <w:bookmarkEnd w:id="44"/>
      <w:bookmarkEnd w:id="45"/>
      <w:bookmarkEnd w:id="46"/>
      <w:bookmarkEnd w:id="47"/>
    </w:p>
    <w:p w14:paraId="0D1974E9">
      <w:pPr>
        <w:pStyle w:val="59"/>
        <w:numPr>
          <w:ilvl w:val="2"/>
          <w:numId w:val="0"/>
        </w:numPr>
        <w:tabs>
          <w:tab w:val="clear" w:pos="420"/>
        </w:tabs>
        <w:spacing w:before="79" w:after="79"/>
        <w:rPr>
          <w:rFonts w:hint="eastAsia" w:ascii="黑体" w:hAnsi="黑体" w:eastAsia="黑体" w:cs="黑体"/>
        </w:rPr>
      </w:pPr>
      <w:bookmarkStart w:id="48" w:name="OLE_LINK3"/>
      <w:r>
        <w:rPr>
          <w:rFonts w:hint="eastAsia" w:ascii="黑体" w:hAnsi="黑体" w:eastAsia="黑体" w:cs="黑体"/>
        </w:rPr>
        <w:t>5.1.1</w:t>
      </w:r>
      <w:r>
        <w:rPr>
          <w:rFonts w:ascii="黑体" w:hAnsi="黑体" w:eastAsia="黑体" w:cs="黑体"/>
        </w:rPr>
        <w:t>　</w:t>
      </w:r>
      <w:bookmarkEnd w:id="48"/>
      <w:r>
        <w:rPr>
          <w:rFonts w:hint="eastAsia" w:ascii="宋体" w:hAnsi="宋体" w:eastAsia="宋体" w:cs="宋体"/>
        </w:rPr>
        <w:t>三维数字测量标准流程制定宜包括点云配准、数据滤波、模型重建等数据处理。点云配准应包含粗配准和精配准两个过程，数据滤波宜采用统计滤波等对关键数据点影响较小的方法。</w:t>
      </w:r>
    </w:p>
    <w:p w14:paraId="1253C6B6">
      <w:pPr>
        <w:pStyle w:val="115"/>
        <w:numPr>
          <w:ilvl w:val="2"/>
          <w:numId w:val="0"/>
        </w:numPr>
        <w:spacing w:before="79" w:after="79"/>
        <w:rPr>
          <w:rFonts w:cs="宋体"/>
        </w:rPr>
      </w:pPr>
      <w:r>
        <w:rPr>
          <w:rFonts w:ascii="黑体" w:hAnsi="黑体" w:eastAsia="黑体" w:cs="黑体"/>
        </w:rPr>
        <w:t>5.1.2</w:t>
      </w:r>
      <w:r>
        <w:rPr>
          <w:rFonts w:hint="default" w:ascii="黑体" w:hAnsi="黑体" w:eastAsia="黑体" w:cs="黑体"/>
        </w:rPr>
        <w:t>　</w:t>
      </w:r>
      <w:r>
        <w:rPr>
          <w:rFonts w:cs="宋体"/>
        </w:rPr>
        <w:t>在测量开始前，宜规定测量数据的存储格式、命名规则，以及数据传输的要求和方式，并应当规定包含点云数据、三维网格模型在内的测量结果表达形式。</w:t>
      </w:r>
    </w:p>
    <w:p w14:paraId="0CAE4254">
      <w:pPr>
        <w:pStyle w:val="59"/>
        <w:numPr>
          <w:ilvl w:val="2"/>
          <w:numId w:val="0"/>
        </w:numPr>
        <w:tabs>
          <w:tab w:val="clear" w:pos="420"/>
        </w:tabs>
        <w:spacing w:before="79" w:after="79"/>
        <w:rPr>
          <w:rFonts w:hint="eastAsia" w:ascii="黑体" w:hAnsi="黑体" w:eastAsia="黑体" w:cs="黑体"/>
        </w:rPr>
      </w:pPr>
      <w:r>
        <w:rPr>
          <w:rFonts w:hint="eastAsia" w:ascii="黑体" w:hAnsi="黑体" w:eastAsia="黑体" w:cs="黑体"/>
        </w:rPr>
        <w:t>5.1.3</w:t>
      </w:r>
      <w:r>
        <w:rPr>
          <w:rFonts w:ascii="黑体" w:hAnsi="Times New Roman" w:eastAsia="宋体"/>
        </w:rPr>
        <w:t>　</w:t>
      </w:r>
      <w:r>
        <w:rPr>
          <w:rFonts w:hint="eastAsia" w:ascii="宋体" w:hAnsi="宋体" w:eastAsia="宋体" w:cs="宋体"/>
        </w:rPr>
        <w:t>三维数字测量开展前，应对测量环境条件进行勘测，及时与现场负责人协调移除或调整障碍物，并对现场负责人进行测量方案交底。</w:t>
      </w:r>
    </w:p>
    <w:p w14:paraId="41D2144C">
      <w:pPr>
        <w:pStyle w:val="59"/>
        <w:numPr>
          <w:ilvl w:val="2"/>
          <w:numId w:val="0"/>
        </w:numPr>
        <w:spacing w:before="79" w:after="79"/>
        <w:rPr>
          <w:rFonts w:hint="eastAsia" w:ascii="黑体" w:hAnsi="黑体" w:eastAsia="黑体" w:cs="黑体"/>
        </w:rPr>
      </w:pPr>
      <w:r>
        <w:rPr>
          <w:rFonts w:hint="eastAsia" w:ascii="黑体" w:hAnsi="黑体" w:eastAsia="黑体" w:cs="黑体"/>
        </w:rPr>
        <w:t>5.1.4</w:t>
      </w:r>
      <w:r>
        <w:rPr>
          <w:rFonts w:ascii="黑体" w:hAnsi="Times New Roman" w:eastAsia="宋体"/>
        </w:rPr>
        <w:t>　</w:t>
      </w:r>
      <w:r>
        <w:rPr>
          <w:rFonts w:hint="eastAsia" w:ascii="宋体" w:hAnsi="宋体" w:eastAsia="宋体" w:cs="宋体"/>
        </w:rPr>
        <w:t>测量时段内气温变化不宜超过3℃，测量时桁段不宜受到太阳直接照射。</w:t>
      </w:r>
    </w:p>
    <w:p w14:paraId="0DF6252C">
      <w:pPr>
        <w:pStyle w:val="121"/>
        <w:numPr>
          <w:ilvl w:val="2"/>
          <w:numId w:val="0"/>
        </w:numPr>
        <w:spacing w:before="120" w:after="120"/>
        <w:rPr>
          <w:rFonts w:hint="eastAsia"/>
        </w:rPr>
      </w:pPr>
      <w:bookmarkStart w:id="49" w:name="_Toc208327417"/>
      <w:r>
        <w:rPr>
          <w:rFonts w:hint="eastAsia" w:ascii="黑体" w:hAnsi="黑体"/>
        </w:rPr>
        <w:t>5</w:t>
      </w:r>
      <w:r>
        <w:rPr>
          <w:rFonts w:ascii="黑体" w:hAnsi="黑体"/>
        </w:rPr>
        <w:t>.</w:t>
      </w:r>
      <w:r>
        <w:rPr>
          <w:rFonts w:hint="eastAsia" w:ascii="黑体" w:hAnsi="黑体"/>
        </w:rPr>
        <w:t>2</w:t>
      </w:r>
      <w:r>
        <w:rPr>
          <w:rFonts w:ascii="黑体" w:hAnsi="黑体" w:cs="黑体"/>
          <w:szCs w:val="22"/>
        </w:rPr>
        <w:t>　</w:t>
      </w:r>
      <w:r>
        <w:rPr>
          <w:rFonts w:hint="eastAsia"/>
        </w:rPr>
        <w:t>三维测量规定</w:t>
      </w:r>
      <w:bookmarkEnd w:id="49"/>
    </w:p>
    <w:p w14:paraId="4EB542B8">
      <w:pPr>
        <w:pStyle w:val="59"/>
        <w:numPr>
          <w:ilvl w:val="2"/>
          <w:numId w:val="0"/>
        </w:numPr>
        <w:tabs>
          <w:tab w:val="clear" w:pos="420"/>
        </w:tabs>
        <w:spacing w:before="79" w:after="79"/>
        <w:rPr>
          <w:rFonts w:hint="eastAsia" w:ascii="宋体" w:hAnsi="宋体" w:eastAsia="宋体" w:cs="宋体"/>
        </w:rPr>
      </w:pPr>
      <w:bookmarkStart w:id="50" w:name="OLE_LINK4"/>
      <w:r>
        <w:rPr>
          <w:rFonts w:hint="eastAsia" w:ascii="黑体" w:hAnsi="黑体" w:eastAsia="黑体" w:cs="黑体"/>
        </w:rPr>
        <w:t>5.2.1</w:t>
      </w:r>
      <w:r>
        <w:rPr>
          <w:rFonts w:ascii="黑体" w:hAnsi="黑体" w:eastAsia="黑体" w:cs="黑体"/>
        </w:rPr>
        <w:t>　</w:t>
      </w:r>
      <w:bookmarkEnd w:id="50"/>
      <w:r>
        <w:rPr>
          <w:rFonts w:hint="eastAsia" w:ascii="宋体" w:hAnsi="宋体" w:eastAsia="宋体" w:cs="宋体"/>
        </w:rPr>
        <w:t>在三维数字测量过程中，宜开展包含三维测量手段选取、测量方案制定、桁段表面测量、桁段特征点测量等任务。三维测量应遵循图2所示的技术流程。</w:t>
      </w:r>
    </w:p>
    <w:p w14:paraId="1596D0E0">
      <w:pPr>
        <w:adjustRightInd w:val="0"/>
        <w:spacing w:line="360" w:lineRule="auto"/>
        <w:ind w:right="176"/>
        <w:jc w:val="center"/>
        <w:rPr>
          <w:rFonts w:ascii="宋体" w:hAnsi="Times New Roman" w:eastAsia="宋体" w:cs="Times New Roman"/>
          <w:szCs w:val="20"/>
        </w:rPr>
      </w:pPr>
      <w:r>
        <w:rPr>
          <w:rFonts w:ascii="Calibri" w:hAnsi="Calibri" w:eastAsia="宋体" w:cs="Times New Roman"/>
          <w:kern w:val="2"/>
          <w:szCs w:val="21"/>
        </w:rPr>
        <w:object>
          <v:shape id="_x0000_i1026" o:spt="75" type="#_x0000_t75" style="height:325.95pt;width:321.55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14:paraId="6B3590F9">
      <w:pPr>
        <w:pStyle w:val="12"/>
        <w:spacing w:before="120" w:after="120"/>
        <w:rPr>
          <w:rFonts w:hint="eastAsia"/>
        </w:rPr>
      </w:pPr>
      <w:r>
        <w:rPr>
          <w:rFonts w:hint="eastAsia"/>
        </w:rPr>
        <w:t>图 2  三维测量技术流程图</w:t>
      </w:r>
    </w:p>
    <w:p w14:paraId="1B013D17">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5.2.2</w:t>
      </w:r>
      <w:r>
        <w:rPr>
          <w:rFonts w:ascii="黑体" w:hAnsi="黑体" w:eastAsia="黑体" w:cs="黑体"/>
        </w:rPr>
        <w:t>　</w:t>
      </w:r>
      <w:r>
        <w:rPr>
          <w:rFonts w:hint="eastAsia" w:ascii="宋体" w:hAnsi="宋体" w:eastAsia="宋体" w:cs="宋体"/>
        </w:rPr>
        <w:t>开展三维数字测量时，测量对象与设备类型对应的最低精度应符合表</w:t>
      </w:r>
      <w:r>
        <w:rPr>
          <w:rFonts w:ascii="宋体" w:hAnsi="宋体" w:eastAsia="宋体" w:cs="宋体"/>
        </w:rPr>
        <w:t>1</w:t>
      </w:r>
      <w:r>
        <w:rPr>
          <w:rFonts w:hint="eastAsia" w:ascii="宋体" w:hAnsi="宋体" w:eastAsia="宋体" w:cs="宋体"/>
        </w:rPr>
        <w:t>的规定。</w:t>
      </w:r>
    </w:p>
    <w:p w14:paraId="66724EE5">
      <w:pPr>
        <w:pStyle w:val="12"/>
        <w:keepNext/>
        <w:spacing w:before="120" w:after="120"/>
        <w:rPr>
          <w:rFonts w:hint="eastAsia"/>
        </w:rPr>
      </w:pPr>
      <w:r>
        <w:rPr>
          <w:rFonts w:hint="eastAsia"/>
        </w:rPr>
        <w:t>表</w:t>
      </w:r>
      <w:r>
        <w:t xml:space="preserve">1 </w:t>
      </w:r>
      <w:r>
        <w:rPr>
          <w:rFonts w:hint="eastAsia"/>
        </w:rPr>
        <w:t>设备类型选取方法与测量对象对应表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799"/>
        <w:gridCol w:w="1966"/>
      </w:tblGrid>
      <w:tr w14:paraId="7E6EB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tcBorders>
              <w:bottom w:val="single" w:color="auto" w:sz="12" w:space="0"/>
            </w:tcBorders>
            <w:vAlign w:val="center"/>
          </w:tcPr>
          <w:p w14:paraId="56966FD9">
            <w:pPr>
              <w:ind w:firstLine="180"/>
              <w:jc w:val="center"/>
              <w:rPr>
                <w:sz w:val="18"/>
                <w:szCs w:val="20"/>
              </w:rPr>
            </w:pPr>
            <w:r>
              <w:rPr>
                <w:rFonts w:hint="eastAsia"/>
                <w:sz w:val="18"/>
                <w:szCs w:val="20"/>
              </w:rPr>
              <w:t>测量对象</w:t>
            </w:r>
          </w:p>
        </w:tc>
        <w:tc>
          <w:tcPr>
            <w:tcW w:w="2799" w:type="dxa"/>
            <w:tcBorders>
              <w:bottom w:val="single" w:color="auto" w:sz="12" w:space="0"/>
            </w:tcBorders>
            <w:vAlign w:val="center"/>
          </w:tcPr>
          <w:p w14:paraId="01043C7F">
            <w:pPr>
              <w:ind w:firstLine="180"/>
              <w:jc w:val="center"/>
              <w:rPr>
                <w:sz w:val="18"/>
                <w:szCs w:val="20"/>
              </w:rPr>
            </w:pPr>
            <w:r>
              <w:rPr>
                <w:rFonts w:hint="eastAsia"/>
                <w:sz w:val="18"/>
                <w:szCs w:val="20"/>
              </w:rPr>
              <w:t>设备类型</w:t>
            </w:r>
          </w:p>
        </w:tc>
        <w:tc>
          <w:tcPr>
            <w:tcW w:w="1966" w:type="dxa"/>
            <w:tcBorders>
              <w:bottom w:val="single" w:color="auto" w:sz="12" w:space="0"/>
            </w:tcBorders>
          </w:tcPr>
          <w:p w14:paraId="049A6198">
            <w:pPr>
              <w:ind w:firstLine="180"/>
              <w:jc w:val="center"/>
              <w:rPr>
                <w:sz w:val="18"/>
                <w:szCs w:val="20"/>
              </w:rPr>
            </w:pPr>
            <w:r>
              <w:rPr>
                <w:rFonts w:hint="eastAsia"/>
                <w:sz w:val="18"/>
                <w:szCs w:val="20"/>
              </w:rPr>
              <w:t>标称测距精度（mm）</w:t>
            </w:r>
          </w:p>
        </w:tc>
      </w:tr>
      <w:tr w14:paraId="2DD30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tcBorders>
              <w:top w:val="single" w:color="auto" w:sz="12" w:space="0"/>
            </w:tcBorders>
            <w:vAlign w:val="center"/>
          </w:tcPr>
          <w:p w14:paraId="25C81409">
            <w:pPr>
              <w:ind w:firstLine="180"/>
              <w:jc w:val="center"/>
              <w:rPr>
                <w:sz w:val="18"/>
                <w:szCs w:val="20"/>
              </w:rPr>
            </w:pPr>
            <w:r>
              <w:rPr>
                <w:rFonts w:hint="eastAsia"/>
                <w:sz w:val="18"/>
                <w:szCs w:val="20"/>
              </w:rPr>
              <w:t>桁段</w:t>
            </w:r>
          </w:p>
        </w:tc>
        <w:tc>
          <w:tcPr>
            <w:tcW w:w="2799" w:type="dxa"/>
            <w:tcBorders>
              <w:top w:val="single" w:color="auto" w:sz="12" w:space="0"/>
            </w:tcBorders>
            <w:vAlign w:val="center"/>
          </w:tcPr>
          <w:p w14:paraId="2FE80843">
            <w:pPr>
              <w:ind w:firstLine="180"/>
              <w:jc w:val="center"/>
              <w:rPr>
                <w:sz w:val="18"/>
                <w:szCs w:val="20"/>
              </w:rPr>
            </w:pPr>
            <w:r>
              <w:rPr>
                <w:rFonts w:hint="eastAsia"/>
                <w:sz w:val="18"/>
                <w:szCs w:val="20"/>
              </w:rPr>
              <w:t>架站式三维激光扫描仪</w:t>
            </w:r>
          </w:p>
        </w:tc>
        <w:tc>
          <w:tcPr>
            <w:tcW w:w="1966" w:type="dxa"/>
            <w:tcBorders>
              <w:top w:val="single" w:color="auto" w:sz="12" w:space="0"/>
            </w:tcBorders>
          </w:tcPr>
          <w:p w14:paraId="656A3EFF">
            <w:pPr>
              <w:ind w:firstLine="180"/>
              <w:jc w:val="center"/>
              <w:rPr>
                <w:sz w:val="18"/>
                <w:szCs w:val="20"/>
              </w:rPr>
            </w:pPr>
            <w:r>
              <w:rPr>
                <w:rFonts w:hint="eastAsia"/>
                <w:sz w:val="18"/>
                <w:szCs w:val="20"/>
              </w:rPr>
              <w:t>±1.</w:t>
            </w:r>
            <w:r>
              <w:rPr>
                <w:sz w:val="18"/>
                <w:szCs w:val="20"/>
              </w:rPr>
              <w:t>0</w:t>
            </w:r>
          </w:p>
        </w:tc>
      </w:tr>
      <w:tr w14:paraId="6CD6F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5833D0EB">
            <w:pPr>
              <w:ind w:firstLine="180"/>
              <w:jc w:val="center"/>
              <w:rPr>
                <w:sz w:val="18"/>
                <w:szCs w:val="20"/>
              </w:rPr>
            </w:pPr>
            <w:r>
              <w:rPr>
                <w:rFonts w:hint="eastAsia"/>
                <w:sz w:val="18"/>
                <w:szCs w:val="20"/>
              </w:rPr>
              <w:t>弦杆端部</w:t>
            </w:r>
          </w:p>
        </w:tc>
        <w:tc>
          <w:tcPr>
            <w:tcW w:w="2799" w:type="dxa"/>
            <w:vAlign w:val="center"/>
          </w:tcPr>
          <w:p w14:paraId="1ABCEE50">
            <w:pPr>
              <w:ind w:firstLine="180"/>
              <w:jc w:val="center"/>
              <w:rPr>
                <w:sz w:val="18"/>
                <w:szCs w:val="20"/>
              </w:rPr>
            </w:pPr>
            <w:r>
              <w:rPr>
                <w:rFonts w:hint="eastAsia"/>
                <w:sz w:val="18"/>
                <w:szCs w:val="20"/>
              </w:rPr>
              <w:t>手持式三维激光扫描仪</w:t>
            </w:r>
          </w:p>
        </w:tc>
        <w:tc>
          <w:tcPr>
            <w:tcW w:w="1966" w:type="dxa"/>
          </w:tcPr>
          <w:p w14:paraId="21F05778">
            <w:pPr>
              <w:ind w:firstLine="180"/>
              <w:jc w:val="center"/>
              <w:rPr>
                <w:sz w:val="18"/>
                <w:szCs w:val="20"/>
              </w:rPr>
            </w:pPr>
            <w:r>
              <w:rPr>
                <w:rFonts w:hint="eastAsia"/>
                <w:sz w:val="18"/>
                <w:szCs w:val="20"/>
              </w:rPr>
              <w:t>±0</w:t>
            </w:r>
            <w:r>
              <w:rPr>
                <w:sz w:val="18"/>
                <w:szCs w:val="20"/>
              </w:rPr>
              <w:t>.03</w:t>
            </w:r>
          </w:p>
        </w:tc>
      </w:tr>
      <w:tr w14:paraId="2FAA1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383D30E8">
            <w:pPr>
              <w:ind w:firstLine="180"/>
              <w:jc w:val="center"/>
              <w:rPr>
                <w:sz w:val="18"/>
                <w:szCs w:val="20"/>
              </w:rPr>
            </w:pPr>
            <w:r>
              <w:rPr>
                <w:rFonts w:hint="eastAsia"/>
                <w:sz w:val="18"/>
                <w:szCs w:val="20"/>
              </w:rPr>
              <w:t>孔心坐标</w:t>
            </w:r>
          </w:p>
        </w:tc>
        <w:tc>
          <w:tcPr>
            <w:tcW w:w="2799" w:type="dxa"/>
            <w:vAlign w:val="center"/>
          </w:tcPr>
          <w:p w14:paraId="14F7D68E">
            <w:pPr>
              <w:ind w:firstLine="180"/>
              <w:jc w:val="center"/>
              <w:rPr>
                <w:sz w:val="18"/>
                <w:szCs w:val="20"/>
              </w:rPr>
            </w:pPr>
            <w:r>
              <w:rPr>
                <w:rFonts w:hint="eastAsia"/>
                <w:sz w:val="18"/>
                <w:szCs w:val="20"/>
              </w:rPr>
              <w:t>激光跟踪仪/全站仪机器人</w:t>
            </w:r>
          </w:p>
        </w:tc>
        <w:tc>
          <w:tcPr>
            <w:tcW w:w="1966" w:type="dxa"/>
          </w:tcPr>
          <w:p w14:paraId="68FBA32A">
            <w:pPr>
              <w:ind w:firstLine="180"/>
              <w:jc w:val="center"/>
              <w:rPr>
                <w:sz w:val="18"/>
                <w:szCs w:val="20"/>
              </w:rPr>
            </w:pPr>
            <w:r>
              <w:rPr>
                <w:rFonts w:hint="eastAsia"/>
                <w:sz w:val="18"/>
                <w:szCs w:val="20"/>
              </w:rPr>
              <w:t>±1.0</w:t>
            </w:r>
          </w:p>
        </w:tc>
      </w:tr>
      <w:tr w14:paraId="3F27D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31C71557">
            <w:pPr>
              <w:ind w:firstLine="180"/>
              <w:jc w:val="center"/>
              <w:rPr>
                <w:sz w:val="18"/>
                <w:szCs w:val="20"/>
              </w:rPr>
            </w:pPr>
            <w:r>
              <w:rPr>
                <w:rFonts w:hint="eastAsia"/>
                <w:sz w:val="18"/>
                <w:szCs w:val="20"/>
              </w:rPr>
              <w:t>拼接板螺孔</w:t>
            </w:r>
          </w:p>
        </w:tc>
        <w:tc>
          <w:tcPr>
            <w:tcW w:w="2799" w:type="dxa"/>
            <w:vAlign w:val="center"/>
          </w:tcPr>
          <w:p w14:paraId="1AEED5E3">
            <w:pPr>
              <w:ind w:firstLine="180"/>
              <w:jc w:val="center"/>
              <w:rPr>
                <w:sz w:val="18"/>
                <w:szCs w:val="20"/>
              </w:rPr>
            </w:pPr>
            <w:r>
              <w:rPr>
                <w:rFonts w:hint="eastAsia"/>
                <w:sz w:val="18"/>
                <w:szCs w:val="20"/>
              </w:rPr>
              <w:t>手持式三维激光扫描仪</w:t>
            </w:r>
          </w:p>
        </w:tc>
        <w:tc>
          <w:tcPr>
            <w:tcW w:w="1966" w:type="dxa"/>
          </w:tcPr>
          <w:p w14:paraId="3F554744">
            <w:pPr>
              <w:ind w:firstLine="180"/>
              <w:jc w:val="center"/>
              <w:rPr>
                <w:sz w:val="18"/>
                <w:szCs w:val="20"/>
              </w:rPr>
            </w:pPr>
            <w:r>
              <w:rPr>
                <w:rFonts w:hint="eastAsia"/>
                <w:sz w:val="18"/>
                <w:szCs w:val="20"/>
              </w:rPr>
              <w:t>±</w:t>
            </w:r>
            <w:r>
              <w:rPr>
                <w:sz w:val="18"/>
                <w:szCs w:val="20"/>
              </w:rPr>
              <w:t>0.03</w:t>
            </w:r>
          </w:p>
        </w:tc>
      </w:tr>
    </w:tbl>
    <w:p w14:paraId="4C2E6DA4">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5.2.3</w:t>
      </w:r>
      <w:r>
        <w:rPr>
          <w:rFonts w:hint="eastAsia" w:ascii="宋体" w:hAnsi="宋体" w:eastAsia="宋体" w:cs="宋体"/>
        </w:rPr>
        <w:t>　</w:t>
      </w:r>
      <w:r>
        <w:rPr>
          <w:rFonts w:ascii="宋体" w:hAnsi="宋体" w:eastAsia="宋体" w:cs="宋体"/>
        </w:rPr>
        <w:t>三维数字测量</w:t>
      </w:r>
      <w:r>
        <w:rPr>
          <w:rFonts w:hint="eastAsia" w:ascii="宋体" w:hAnsi="宋体" w:eastAsia="宋体" w:cs="宋体"/>
        </w:rPr>
        <w:t>设备应经计量检定、校准合格，并在有效期内</w:t>
      </w:r>
      <w:r>
        <w:rPr>
          <w:rFonts w:ascii="宋体" w:hAnsi="宋体" w:eastAsia="宋体" w:cs="宋体"/>
        </w:rPr>
        <w:t>。</w:t>
      </w:r>
    </w:p>
    <w:p w14:paraId="34DD78F8">
      <w:pPr>
        <w:pStyle w:val="59"/>
        <w:numPr>
          <w:ilvl w:val="2"/>
          <w:numId w:val="0"/>
        </w:numPr>
        <w:tabs>
          <w:tab w:val="clear" w:pos="420"/>
        </w:tabs>
        <w:spacing w:before="79" w:after="79"/>
        <w:rPr>
          <w:rFonts w:hint="eastAsia" w:ascii="宋体" w:hAnsi="宋体" w:eastAsia="宋体" w:cs="宋体"/>
        </w:rPr>
      </w:pPr>
      <w:bookmarkStart w:id="51" w:name="_Hlk202884688"/>
      <w:r>
        <w:rPr>
          <w:rFonts w:hint="eastAsia" w:ascii="黑体" w:hAnsi="黑体" w:eastAsia="黑体" w:cs="黑体"/>
        </w:rPr>
        <w:t>5.2.4　</w:t>
      </w:r>
      <w:bookmarkEnd w:id="51"/>
      <w:r>
        <w:rPr>
          <w:rFonts w:hint="eastAsia" w:ascii="宋体" w:hAnsi="宋体" w:eastAsia="宋体" w:cs="宋体"/>
        </w:rPr>
        <w:t>全站仪机器人在测量过程中，宜符合以下要求：</w:t>
      </w:r>
    </w:p>
    <w:p w14:paraId="35F80D61">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a</w:t>
      </w:r>
      <w:r>
        <w:rPr>
          <w:rFonts w:ascii="宋体" w:hAnsi="宋体" w:eastAsia="宋体" w:cs="宋体"/>
        </w:rPr>
        <w:t>)</w:t>
      </w:r>
      <w:r>
        <w:rPr>
          <w:rFonts w:hint="eastAsia" w:ascii="宋体" w:hAnsi="宋体" w:eastAsia="宋体" w:cs="宋体"/>
        </w:rPr>
        <w:t xml:space="preserve"> 应合理布置全站仪的测站位置和控制点位置，单个桁段全站仪设站数量不应大于3站，控制点的位置宜采用热熔胶粘贴至地面或者桁段上可通视的点；</w:t>
      </w:r>
    </w:p>
    <w:p w14:paraId="24286C2C">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测量时，应记录下每个点测量时的温度、湿度和大气压强，记录形式参照表2。</w:t>
      </w:r>
    </w:p>
    <w:p w14:paraId="0D2A1F49">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w:t>
      </w:r>
      <w:r>
        <w:rPr>
          <w:rFonts w:hint="eastAsia" w:ascii="宋体" w:hAnsi="宋体" w:eastAsia="宋体" w:cs="宋体"/>
        </w:rPr>
        <w:t xml:space="preserve"> 测量孔心坐标时，采用球标靶，其直径应大于螺孔直径且小于螺孔直径的1.5倍。</w:t>
      </w:r>
    </w:p>
    <w:p w14:paraId="3F7198C9">
      <w:pPr>
        <w:widowControl/>
        <w:jc w:val="left"/>
        <w:rPr>
          <w:rFonts w:hint="eastAsia" w:ascii="宋体" w:hAnsi="宋体" w:eastAsia="宋体" w:cs="宋体"/>
        </w:rPr>
      </w:pPr>
      <w:r>
        <w:rPr>
          <w:rFonts w:hint="eastAsia" w:ascii="宋体" w:hAnsi="宋体" w:eastAsia="宋体" w:cs="宋体"/>
        </w:rPr>
        <w:br w:type="page"/>
      </w:r>
    </w:p>
    <w:p w14:paraId="305AA46C">
      <w:pPr>
        <w:pStyle w:val="12"/>
        <w:spacing w:before="120" w:after="120"/>
        <w:rPr>
          <w:rFonts w:hint="eastAsia"/>
        </w:rPr>
      </w:pPr>
      <w:r>
        <w:rPr>
          <w:rFonts w:hint="eastAsia"/>
        </w:rPr>
        <w:t>表2</w:t>
      </w:r>
      <w:r>
        <w:t xml:space="preserve"> </w:t>
      </w:r>
      <w:r>
        <w:rPr>
          <w:rFonts w:hint="eastAsia"/>
        </w:rPr>
        <w:t>点位测量环境记录表</w:t>
      </w:r>
    </w:p>
    <w:tbl>
      <w:tblPr>
        <w:tblStyle w:val="26"/>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59"/>
        <w:gridCol w:w="1418"/>
        <w:gridCol w:w="1701"/>
        <w:gridCol w:w="1970"/>
      </w:tblGrid>
      <w:tr w14:paraId="161F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12" w:space="0"/>
              <w:left w:val="single" w:color="auto" w:sz="12" w:space="0"/>
              <w:bottom w:val="single" w:color="auto" w:sz="12" w:space="0"/>
              <w:right w:val="single" w:color="auto" w:sz="4" w:space="0"/>
            </w:tcBorders>
            <w:vAlign w:val="center"/>
          </w:tcPr>
          <w:p w14:paraId="3E93373B">
            <w:pPr>
              <w:ind w:firstLine="180"/>
              <w:jc w:val="center"/>
              <w:rPr>
                <w:sz w:val="18"/>
                <w:szCs w:val="20"/>
              </w:rPr>
            </w:pPr>
            <w:r>
              <w:rPr>
                <w:rFonts w:hint="eastAsia"/>
                <w:sz w:val="18"/>
                <w:szCs w:val="20"/>
              </w:rPr>
              <w:t>点位序号</w:t>
            </w:r>
          </w:p>
        </w:tc>
        <w:tc>
          <w:tcPr>
            <w:tcW w:w="1559" w:type="dxa"/>
            <w:tcBorders>
              <w:top w:val="single" w:color="auto" w:sz="12" w:space="0"/>
              <w:left w:val="single" w:color="auto" w:sz="4" w:space="0"/>
              <w:bottom w:val="single" w:color="auto" w:sz="12" w:space="0"/>
              <w:right w:val="single" w:color="auto" w:sz="4" w:space="0"/>
            </w:tcBorders>
            <w:vAlign w:val="center"/>
          </w:tcPr>
          <w:p w14:paraId="4FE616E4">
            <w:pPr>
              <w:ind w:firstLine="180"/>
              <w:jc w:val="center"/>
              <w:rPr>
                <w:sz w:val="18"/>
                <w:szCs w:val="20"/>
              </w:rPr>
            </w:pPr>
            <w:r>
              <w:rPr>
                <w:rFonts w:hint="eastAsia"/>
                <w:sz w:val="18"/>
                <w:szCs w:val="20"/>
              </w:rPr>
              <w:t>大气温度（℃）</w:t>
            </w:r>
          </w:p>
        </w:tc>
        <w:tc>
          <w:tcPr>
            <w:tcW w:w="1418" w:type="dxa"/>
            <w:tcBorders>
              <w:top w:val="single" w:color="auto" w:sz="12" w:space="0"/>
              <w:left w:val="single" w:color="auto" w:sz="4" w:space="0"/>
              <w:bottom w:val="single" w:color="auto" w:sz="12" w:space="0"/>
              <w:right w:val="single" w:color="auto" w:sz="4" w:space="0"/>
            </w:tcBorders>
            <w:vAlign w:val="center"/>
          </w:tcPr>
          <w:p w14:paraId="68BDEC9F">
            <w:pPr>
              <w:ind w:firstLine="180"/>
              <w:jc w:val="center"/>
              <w:rPr>
                <w:sz w:val="18"/>
                <w:szCs w:val="20"/>
              </w:rPr>
            </w:pPr>
            <w:r>
              <w:rPr>
                <w:rFonts w:hint="eastAsia"/>
                <w:sz w:val="18"/>
                <w:szCs w:val="20"/>
              </w:rPr>
              <w:t>湿度（%RH）</w:t>
            </w:r>
          </w:p>
        </w:tc>
        <w:tc>
          <w:tcPr>
            <w:tcW w:w="1701" w:type="dxa"/>
            <w:tcBorders>
              <w:top w:val="single" w:color="auto" w:sz="12" w:space="0"/>
              <w:left w:val="single" w:color="auto" w:sz="4" w:space="0"/>
              <w:bottom w:val="single" w:color="auto" w:sz="12" w:space="0"/>
              <w:right w:val="single" w:color="auto" w:sz="4" w:space="0"/>
            </w:tcBorders>
            <w:vAlign w:val="center"/>
          </w:tcPr>
          <w:p w14:paraId="02CE48CD">
            <w:pPr>
              <w:ind w:firstLine="180"/>
              <w:jc w:val="center"/>
              <w:rPr>
                <w:sz w:val="18"/>
                <w:szCs w:val="20"/>
              </w:rPr>
            </w:pPr>
            <w:r>
              <w:rPr>
                <w:rFonts w:hint="eastAsia"/>
                <w:sz w:val="18"/>
                <w:szCs w:val="20"/>
              </w:rPr>
              <w:t>大气压强（hPa）</w:t>
            </w:r>
          </w:p>
        </w:tc>
        <w:tc>
          <w:tcPr>
            <w:tcW w:w="1970" w:type="dxa"/>
            <w:tcBorders>
              <w:top w:val="single" w:color="auto" w:sz="12" w:space="0"/>
              <w:left w:val="single" w:color="auto" w:sz="4" w:space="0"/>
              <w:bottom w:val="single" w:color="auto" w:sz="12" w:space="0"/>
              <w:right w:val="single" w:color="auto" w:sz="12" w:space="0"/>
            </w:tcBorders>
            <w:vAlign w:val="center"/>
          </w:tcPr>
          <w:p w14:paraId="1FEB6C83">
            <w:pPr>
              <w:ind w:firstLine="180"/>
              <w:jc w:val="center"/>
              <w:rPr>
                <w:sz w:val="18"/>
                <w:szCs w:val="20"/>
              </w:rPr>
            </w:pPr>
            <w:r>
              <w:rPr>
                <w:rFonts w:hint="eastAsia"/>
                <w:sz w:val="18"/>
                <w:szCs w:val="20"/>
              </w:rPr>
              <w:t>气流、震动情况</w:t>
            </w:r>
          </w:p>
        </w:tc>
      </w:tr>
      <w:tr w14:paraId="6456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12" w:space="0"/>
              <w:left w:val="single" w:color="auto" w:sz="12" w:space="0"/>
              <w:bottom w:val="single" w:color="auto" w:sz="4" w:space="0"/>
              <w:right w:val="single" w:color="auto" w:sz="4" w:space="0"/>
            </w:tcBorders>
            <w:vAlign w:val="center"/>
          </w:tcPr>
          <w:p w14:paraId="7F75A12C">
            <w:pPr>
              <w:ind w:firstLine="180"/>
              <w:jc w:val="center"/>
              <w:rPr>
                <w:sz w:val="18"/>
                <w:szCs w:val="20"/>
              </w:rPr>
            </w:pPr>
          </w:p>
        </w:tc>
        <w:tc>
          <w:tcPr>
            <w:tcW w:w="1559" w:type="dxa"/>
            <w:tcBorders>
              <w:top w:val="single" w:color="auto" w:sz="12" w:space="0"/>
              <w:left w:val="single" w:color="auto" w:sz="4" w:space="0"/>
              <w:bottom w:val="single" w:color="auto" w:sz="4" w:space="0"/>
              <w:right w:val="single" w:color="auto" w:sz="4" w:space="0"/>
            </w:tcBorders>
            <w:vAlign w:val="center"/>
          </w:tcPr>
          <w:p w14:paraId="4E39CF41">
            <w:pPr>
              <w:ind w:firstLine="180"/>
              <w:jc w:val="center"/>
              <w:rPr>
                <w:sz w:val="18"/>
                <w:szCs w:val="20"/>
              </w:rPr>
            </w:pPr>
          </w:p>
        </w:tc>
        <w:tc>
          <w:tcPr>
            <w:tcW w:w="1418" w:type="dxa"/>
            <w:tcBorders>
              <w:top w:val="single" w:color="auto" w:sz="12" w:space="0"/>
              <w:left w:val="single" w:color="auto" w:sz="4" w:space="0"/>
              <w:bottom w:val="single" w:color="auto" w:sz="4" w:space="0"/>
              <w:right w:val="single" w:color="auto" w:sz="4" w:space="0"/>
            </w:tcBorders>
            <w:vAlign w:val="center"/>
          </w:tcPr>
          <w:p w14:paraId="1CE12747">
            <w:pPr>
              <w:ind w:firstLine="180"/>
              <w:jc w:val="center"/>
              <w:rPr>
                <w:sz w:val="18"/>
                <w:szCs w:val="20"/>
              </w:rPr>
            </w:pPr>
          </w:p>
        </w:tc>
        <w:tc>
          <w:tcPr>
            <w:tcW w:w="1701" w:type="dxa"/>
            <w:tcBorders>
              <w:top w:val="single" w:color="auto" w:sz="12" w:space="0"/>
              <w:left w:val="single" w:color="auto" w:sz="4" w:space="0"/>
              <w:bottom w:val="single" w:color="auto" w:sz="4" w:space="0"/>
              <w:right w:val="single" w:color="auto" w:sz="4" w:space="0"/>
            </w:tcBorders>
            <w:vAlign w:val="center"/>
          </w:tcPr>
          <w:p w14:paraId="426EC12D">
            <w:pPr>
              <w:ind w:firstLine="180"/>
              <w:jc w:val="center"/>
              <w:rPr>
                <w:sz w:val="18"/>
                <w:szCs w:val="20"/>
              </w:rPr>
            </w:pPr>
          </w:p>
        </w:tc>
        <w:tc>
          <w:tcPr>
            <w:tcW w:w="1970" w:type="dxa"/>
            <w:tcBorders>
              <w:top w:val="single" w:color="auto" w:sz="12" w:space="0"/>
              <w:left w:val="single" w:color="auto" w:sz="4" w:space="0"/>
              <w:bottom w:val="single" w:color="auto" w:sz="4" w:space="0"/>
              <w:right w:val="single" w:color="auto" w:sz="12" w:space="0"/>
            </w:tcBorders>
            <w:vAlign w:val="center"/>
          </w:tcPr>
          <w:p w14:paraId="20B8777B">
            <w:pPr>
              <w:ind w:firstLine="180"/>
              <w:jc w:val="center"/>
              <w:rPr>
                <w:sz w:val="18"/>
                <w:szCs w:val="20"/>
              </w:rPr>
            </w:pPr>
          </w:p>
        </w:tc>
      </w:tr>
      <w:tr w14:paraId="6C55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12" w:space="0"/>
              <w:bottom w:val="single" w:color="auto" w:sz="12" w:space="0"/>
              <w:right w:val="single" w:color="auto" w:sz="4" w:space="0"/>
            </w:tcBorders>
            <w:vAlign w:val="center"/>
          </w:tcPr>
          <w:p w14:paraId="752B4252">
            <w:pPr>
              <w:ind w:firstLine="180"/>
              <w:jc w:val="center"/>
              <w:rPr>
                <w:sz w:val="18"/>
                <w:szCs w:val="20"/>
              </w:rPr>
            </w:pPr>
          </w:p>
        </w:tc>
        <w:tc>
          <w:tcPr>
            <w:tcW w:w="1559" w:type="dxa"/>
            <w:tcBorders>
              <w:top w:val="single" w:color="auto" w:sz="4" w:space="0"/>
              <w:left w:val="single" w:color="auto" w:sz="4" w:space="0"/>
              <w:bottom w:val="single" w:color="auto" w:sz="12" w:space="0"/>
              <w:right w:val="single" w:color="auto" w:sz="4" w:space="0"/>
            </w:tcBorders>
            <w:vAlign w:val="center"/>
          </w:tcPr>
          <w:p w14:paraId="240E942C">
            <w:pPr>
              <w:ind w:firstLine="180"/>
              <w:jc w:val="center"/>
              <w:rPr>
                <w:sz w:val="18"/>
                <w:szCs w:val="20"/>
              </w:rPr>
            </w:pPr>
          </w:p>
        </w:tc>
        <w:tc>
          <w:tcPr>
            <w:tcW w:w="1418" w:type="dxa"/>
            <w:tcBorders>
              <w:top w:val="single" w:color="auto" w:sz="4" w:space="0"/>
              <w:left w:val="single" w:color="auto" w:sz="4" w:space="0"/>
              <w:bottom w:val="single" w:color="auto" w:sz="12" w:space="0"/>
              <w:right w:val="single" w:color="auto" w:sz="4" w:space="0"/>
            </w:tcBorders>
            <w:vAlign w:val="center"/>
          </w:tcPr>
          <w:p w14:paraId="441211EB">
            <w:pPr>
              <w:ind w:firstLine="180"/>
              <w:jc w:val="center"/>
              <w:rPr>
                <w:sz w:val="18"/>
                <w:szCs w:val="20"/>
              </w:rPr>
            </w:pPr>
          </w:p>
        </w:tc>
        <w:tc>
          <w:tcPr>
            <w:tcW w:w="1701" w:type="dxa"/>
            <w:tcBorders>
              <w:top w:val="single" w:color="auto" w:sz="4" w:space="0"/>
              <w:left w:val="single" w:color="auto" w:sz="4" w:space="0"/>
              <w:bottom w:val="single" w:color="auto" w:sz="12" w:space="0"/>
              <w:right w:val="single" w:color="auto" w:sz="4" w:space="0"/>
            </w:tcBorders>
            <w:vAlign w:val="center"/>
          </w:tcPr>
          <w:p w14:paraId="1B7F39D1">
            <w:pPr>
              <w:ind w:firstLine="180"/>
              <w:jc w:val="center"/>
              <w:rPr>
                <w:sz w:val="18"/>
                <w:szCs w:val="20"/>
              </w:rPr>
            </w:pPr>
          </w:p>
        </w:tc>
        <w:tc>
          <w:tcPr>
            <w:tcW w:w="1970" w:type="dxa"/>
            <w:tcBorders>
              <w:top w:val="single" w:color="auto" w:sz="4" w:space="0"/>
              <w:left w:val="single" w:color="auto" w:sz="4" w:space="0"/>
              <w:bottom w:val="single" w:color="auto" w:sz="12" w:space="0"/>
              <w:right w:val="single" w:color="auto" w:sz="12" w:space="0"/>
            </w:tcBorders>
            <w:vAlign w:val="center"/>
          </w:tcPr>
          <w:p w14:paraId="52683157">
            <w:pPr>
              <w:ind w:firstLine="180"/>
              <w:jc w:val="center"/>
              <w:rPr>
                <w:sz w:val="18"/>
                <w:szCs w:val="20"/>
              </w:rPr>
            </w:pPr>
          </w:p>
        </w:tc>
      </w:tr>
    </w:tbl>
    <w:p w14:paraId="0E349E44">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5.2.5　</w:t>
      </w:r>
      <w:r>
        <w:rPr>
          <w:rFonts w:hint="eastAsia" w:ascii="宋体" w:hAnsi="宋体" w:eastAsia="宋体" w:cs="宋体"/>
        </w:rPr>
        <w:t>使用全站仪、激光跟踪仪等设备测量螺孔坐标时，</w:t>
      </w:r>
      <w:r>
        <w:rPr>
          <w:rFonts w:ascii="宋体" w:hAnsi="宋体" w:eastAsia="宋体" w:cs="宋体"/>
        </w:rPr>
        <w:t>应当满足以下要求：</w:t>
      </w:r>
    </w:p>
    <w:p w14:paraId="19F370D5">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a</w:t>
      </w:r>
      <w:r>
        <w:rPr>
          <w:rFonts w:ascii="宋体" w:hAnsi="宋体" w:eastAsia="宋体" w:cs="宋体"/>
        </w:rPr>
        <w:t>)</w:t>
      </w:r>
      <w:r>
        <w:rPr>
          <w:rFonts w:hint="eastAsia" w:ascii="宋体" w:hAnsi="宋体" w:eastAsia="宋体" w:cs="宋体"/>
        </w:rPr>
        <w:t xml:space="preserve"> 开始测量前，宜选择无振动、温度相对恒定的环境下开展全站仪、激光跟踪仪的测量；</w:t>
      </w:r>
    </w:p>
    <w:p w14:paraId="791192A3">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应将激光跟踪仪或全站仪布置在合理的测量范围内，确保测站可清晰观测到桁段上、下游控制点位，且控制点数量不少于3个，同时测站设置不超过3个。</w:t>
      </w:r>
    </w:p>
    <w:p w14:paraId="5A90ACEB">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 xml:space="preserve">) </w:t>
      </w:r>
      <w:r>
        <w:rPr>
          <w:rFonts w:hint="eastAsia" w:ascii="宋体" w:hAnsi="宋体" w:eastAsia="宋体" w:cs="宋体"/>
        </w:rPr>
        <w:t>激光跟踪仪开始测量前，应先进行约3</w:t>
      </w:r>
      <w:r>
        <w:rPr>
          <w:rFonts w:ascii="宋体" w:hAnsi="宋体" w:eastAsia="宋体" w:cs="宋体"/>
        </w:rPr>
        <w:t>0</w:t>
      </w:r>
      <w:r>
        <w:rPr>
          <w:rFonts w:hint="eastAsia" w:ascii="宋体" w:hAnsi="宋体" w:eastAsia="宋体" w:cs="宋体"/>
        </w:rPr>
        <w:t>分钟热机，使仪器温度和环境温度保持一致。测量过程中温度变化范围不应超过2℃。测量完成后，除了记录表2的参数之外，还应记录测站的温度和转站点精度，记录形式参照表3。</w:t>
      </w:r>
    </w:p>
    <w:p w14:paraId="1E1412C0">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d</w:t>
      </w:r>
      <w:r>
        <w:rPr>
          <w:rFonts w:ascii="宋体" w:hAnsi="宋体" w:eastAsia="宋体" w:cs="宋体"/>
        </w:rPr>
        <w:t>)</w:t>
      </w:r>
      <w:r>
        <w:rPr>
          <w:rFonts w:hint="eastAsia" w:ascii="宋体" w:hAnsi="宋体" w:eastAsia="宋体" w:cs="宋体"/>
        </w:rPr>
        <w:t xml:space="preserve"> 应检查测量过程中的环境变化，当气温变化超过2℃时，应停止激光跟踪仪测量并重新热机。</w:t>
      </w:r>
    </w:p>
    <w:p w14:paraId="421D895C">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e</w:t>
      </w:r>
      <w:r>
        <w:rPr>
          <w:rFonts w:ascii="宋体" w:hAnsi="宋体" w:eastAsia="宋体" w:cs="宋体"/>
        </w:rPr>
        <w:t xml:space="preserve">) </w:t>
      </w:r>
      <w:r>
        <w:rPr>
          <w:rFonts w:hint="eastAsia" w:ascii="宋体" w:hAnsi="宋体" w:eastAsia="宋体" w:cs="宋体"/>
        </w:rPr>
        <w:t>在进行螺孔测量时，球标靶应紧贴弦杆端部平面。投影平面的测量点数应不小于4个。投影后的坐标应消除球标靶半径的影响。</w:t>
      </w:r>
    </w:p>
    <w:p w14:paraId="2F3B1BC5">
      <w:pPr>
        <w:pStyle w:val="12"/>
        <w:spacing w:before="120" w:after="120"/>
        <w:rPr>
          <w:rFonts w:hint="eastAsia"/>
        </w:rPr>
      </w:pPr>
      <w:r>
        <w:rPr>
          <w:rFonts w:hint="eastAsia"/>
        </w:rPr>
        <w:t>表3</w:t>
      </w:r>
      <w:r>
        <w:t xml:space="preserve"> </w:t>
      </w:r>
      <w:r>
        <w:rPr>
          <w:rFonts w:hint="eastAsia"/>
        </w:rPr>
        <w:t>测站温度记录</w:t>
      </w:r>
    </w:p>
    <w:tbl>
      <w:tblPr>
        <w:tblStyle w:val="26"/>
        <w:tblW w:w="7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2058"/>
        <w:gridCol w:w="1985"/>
        <w:gridCol w:w="1691"/>
      </w:tblGrid>
      <w:tr w14:paraId="001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12" w:space="0"/>
              <w:left w:val="single" w:color="auto" w:sz="12" w:space="0"/>
              <w:bottom w:val="single" w:color="auto" w:sz="12" w:space="0"/>
              <w:right w:val="single" w:color="auto" w:sz="4" w:space="0"/>
            </w:tcBorders>
            <w:vAlign w:val="center"/>
          </w:tcPr>
          <w:p w14:paraId="399CE031">
            <w:pPr>
              <w:ind w:firstLine="180"/>
              <w:rPr>
                <w:sz w:val="18"/>
                <w:szCs w:val="20"/>
              </w:rPr>
            </w:pPr>
            <w:r>
              <w:rPr>
                <w:rFonts w:hint="eastAsia"/>
                <w:sz w:val="18"/>
                <w:szCs w:val="20"/>
              </w:rPr>
              <w:t>测站名称</w:t>
            </w:r>
          </w:p>
        </w:tc>
        <w:tc>
          <w:tcPr>
            <w:tcW w:w="2058" w:type="dxa"/>
            <w:tcBorders>
              <w:top w:val="single" w:color="auto" w:sz="12" w:space="0"/>
              <w:left w:val="single" w:color="auto" w:sz="4" w:space="0"/>
              <w:bottom w:val="single" w:color="auto" w:sz="12" w:space="0"/>
              <w:right w:val="single" w:color="auto" w:sz="4" w:space="0"/>
            </w:tcBorders>
            <w:vAlign w:val="center"/>
          </w:tcPr>
          <w:p w14:paraId="4BB87B57">
            <w:pPr>
              <w:ind w:firstLine="180"/>
              <w:rPr>
                <w:sz w:val="18"/>
                <w:szCs w:val="20"/>
              </w:rPr>
            </w:pPr>
            <w:r>
              <w:rPr>
                <w:rFonts w:hint="eastAsia"/>
                <w:sz w:val="18"/>
                <w:szCs w:val="20"/>
              </w:rPr>
              <w:t>最低温度（℃）</w:t>
            </w:r>
          </w:p>
        </w:tc>
        <w:tc>
          <w:tcPr>
            <w:tcW w:w="1985" w:type="dxa"/>
            <w:tcBorders>
              <w:top w:val="single" w:color="auto" w:sz="12" w:space="0"/>
              <w:left w:val="single" w:color="auto" w:sz="4" w:space="0"/>
              <w:bottom w:val="single" w:color="auto" w:sz="12" w:space="0"/>
              <w:right w:val="single" w:color="auto" w:sz="4" w:space="0"/>
            </w:tcBorders>
            <w:vAlign w:val="center"/>
          </w:tcPr>
          <w:p w14:paraId="64026A7D">
            <w:pPr>
              <w:ind w:firstLine="180"/>
              <w:rPr>
                <w:sz w:val="18"/>
                <w:szCs w:val="20"/>
              </w:rPr>
            </w:pPr>
            <w:r>
              <w:rPr>
                <w:rFonts w:hint="eastAsia"/>
                <w:sz w:val="18"/>
                <w:szCs w:val="20"/>
              </w:rPr>
              <w:t>最高温度（℃）</w:t>
            </w:r>
          </w:p>
        </w:tc>
        <w:tc>
          <w:tcPr>
            <w:tcW w:w="1691" w:type="dxa"/>
            <w:tcBorders>
              <w:top w:val="single" w:color="auto" w:sz="12" w:space="0"/>
              <w:left w:val="single" w:color="auto" w:sz="4" w:space="0"/>
              <w:bottom w:val="single" w:color="auto" w:sz="12" w:space="0"/>
              <w:right w:val="single" w:color="auto" w:sz="12" w:space="0"/>
            </w:tcBorders>
            <w:vAlign w:val="center"/>
          </w:tcPr>
          <w:p w14:paraId="00AE3739">
            <w:pPr>
              <w:ind w:firstLine="180"/>
              <w:rPr>
                <w:sz w:val="18"/>
                <w:szCs w:val="20"/>
              </w:rPr>
            </w:pPr>
            <w:r>
              <w:rPr>
                <w:rFonts w:hint="eastAsia"/>
                <w:sz w:val="18"/>
                <w:szCs w:val="20"/>
              </w:rPr>
              <w:t>平均温度（℃）</w:t>
            </w:r>
          </w:p>
        </w:tc>
      </w:tr>
      <w:tr w14:paraId="13B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12" w:space="0"/>
              <w:left w:val="single" w:color="auto" w:sz="12" w:space="0"/>
              <w:bottom w:val="single" w:color="auto" w:sz="4" w:space="0"/>
              <w:right w:val="single" w:color="auto" w:sz="4" w:space="0"/>
            </w:tcBorders>
            <w:vAlign w:val="center"/>
          </w:tcPr>
          <w:p w14:paraId="689A34EE">
            <w:pPr>
              <w:ind w:firstLine="180"/>
              <w:rPr>
                <w:sz w:val="18"/>
                <w:szCs w:val="20"/>
              </w:rPr>
            </w:pPr>
          </w:p>
        </w:tc>
        <w:tc>
          <w:tcPr>
            <w:tcW w:w="2058" w:type="dxa"/>
            <w:tcBorders>
              <w:top w:val="single" w:color="auto" w:sz="12" w:space="0"/>
              <w:left w:val="single" w:color="auto" w:sz="4" w:space="0"/>
              <w:bottom w:val="single" w:color="auto" w:sz="4" w:space="0"/>
              <w:right w:val="single" w:color="auto" w:sz="4" w:space="0"/>
            </w:tcBorders>
            <w:vAlign w:val="center"/>
          </w:tcPr>
          <w:p w14:paraId="125799B7">
            <w:pPr>
              <w:ind w:firstLine="180"/>
              <w:rPr>
                <w:sz w:val="18"/>
                <w:szCs w:val="20"/>
              </w:rPr>
            </w:pPr>
          </w:p>
        </w:tc>
        <w:tc>
          <w:tcPr>
            <w:tcW w:w="1985" w:type="dxa"/>
            <w:tcBorders>
              <w:top w:val="single" w:color="auto" w:sz="12" w:space="0"/>
              <w:left w:val="single" w:color="auto" w:sz="4" w:space="0"/>
              <w:bottom w:val="single" w:color="auto" w:sz="4" w:space="0"/>
              <w:right w:val="single" w:color="auto" w:sz="4" w:space="0"/>
            </w:tcBorders>
            <w:vAlign w:val="center"/>
          </w:tcPr>
          <w:p w14:paraId="64846EFC">
            <w:pPr>
              <w:ind w:firstLine="180"/>
              <w:rPr>
                <w:sz w:val="18"/>
                <w:szCs w:val="20"/>
              </w:rPr>
            </w:pPr>
          </w:p>
        </w:tc>
        <w:tc>
          <w:tcPr>
            <w:tcW w:w="1691" w:type="dxa"/>
            <w:tcBorders>
              <w:top w:val="single" w:color="auto" w:sz="12" w:space="0"/>
              <w:left w:val="single" w:color="auto" w:sz="4" w:space="0"/>
              <w:bottom w:val="single" w:color="auto" w:sz="4" w:space="0"/>
              <w:right w:val="single" w:color="auto" w:sz="12" w:space="0"/>
            </w:tcBorders>
            <w:vAlign w:val="center"/>
          </w:tcPr>
          <w:p w14:paraId="5BDB96E1">
            <w:pPr>
              <w:ind w:firstLine="180"/>
              <w:rPr>
                <w:sz w:val="18"/>
                <w:szCs w:val="20"/>
              </w:rPr>
            </w:pPr>
          </w:p>
        </w:tc>
      </w:tr>
      <w:tr w14:paraId="3C4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12" w:space="0"/>
              <w:bottom w:val="single" w:color="auto" w:sz="12" w:space="0"/>
              <w:right w:val="single" w:color="auto" w:sz="4" w:space="0"/>
            </w:tcBorders>
            <w:vAlign w:val="center"/>
          </w:tcPr>
          <w:p w14:paraId="045F5F1A">
            <w:pPr>
              <w:ind w:firstLine="180"/>
              <w:rPr>
                <w:sz w:val="18"/>
                <w:szCs w:val="20"/>
              </w:rPr>
            </w:pPr>
          </w:p>
        </w:tc>
        <w:tc>
          <w:tcPr>
            <w:tcW w:w="2058" w:type="dxa"/>
            <w:tcBorders>
              <w:top w:val="single" w:color="auto" w:sz="4" w:space="0"/>
              <w:left w:val="single" w:color="auto" w:sz="4" w:space="0"/>
              <w:bottom w:val="single" w:color="auto" w:sz="12" w:space="0"/>
              <w:right w:val="single" w:color="auto" w:sz="4" w:space="0"/>
            </w:tcBorders>
            <w:vAlign w:val="center"/>
          </w:tcPr>
          <w:p w14:paraId="787F2EC0">
            <w:pPr>
              <w:ind w:firstLine="180"/>
              <w:rPr>
                <w:sz w:val="18"/>
                <w:szCs w:val="20"/>
              </w:rPr>
            </w:pPr>
          </w:p>
        </w:tc>
        <w:tc>
          <w:tcPr>
            <w:tcW w:w="1985" w:type="dxa"/>
            <w:tcBorders>
              <w:top w:val="single" w:color="auto" w:sz="4" w:space="0"/>
              <w:left w:val="single" w:color="auto" w:sz="4" w:space="0"/>
              <w:bottom w:val="single" w:color="auto" w:sz="12" w:space="0"/>
              <w:right w:val="single" w:color="auto" w:sz="4" w:space="0"/>
            </w:tcBorders>
            <w:vAlign w:val="center"/>
          </w:tcPr>
          <w:p w14:paraId="5EE2C0EB">
            <w:pPr>
              <w:ind w:firstLine="180"/>
              <w:rPr>
                <w:sz w:val="18"/>
                <w:szCs w:val="20"/>
              </w:rPr>
            </w:pPr>
          </w:p>
        </w:tc>
        <w:tc>
          <w:tcPr>
            <w:tcW w:w="1691" w:type="dxa"/>
            <w:tcBorders>
              <w:top w:val="single" w:color="auto" w:sz="4" w:space="0"/>
              <w:left w:val="single" w:color="auto" w:sz="4" w:space="0"/>
              <w:bottom w:val="single" w:color="auto" w:sz="12" w:space="0"/>
              <w:right w:val="single" w:color="auto" w:sz="12" w:space="0"/>
            </w:tcBorders>
            <w:vAlign w:val="center"/>
          </w:tcPr>
          <w:p w14:paraId="0AA35D24">
            <w:pPr>
              <w:ind w:firstLine="180"/>
              <w:rPr>
                <w:sz w:val="18"/>
                <w:szCs w:val="20"/>
              </w:rPr>
            </w:pPr>
          </w:p>
        </w:tc>
      </w:tr>
    </w:tbl>
    <w:p w14:paraId="476F21CE">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5.2.6　</w:t>
      </w:r>
      <w:r>
        <w:rPr>
          <w:rFonts w:hint="eastAsia" w:ascii="宋体" w:hAnsi="宋体" w:eastAsia="宋体" w:cs="宋体"/>
        </w:rPr>
        <w:t>架站式三维激光扫描仪，使用过程中应满足以下要求：</w:t>
      </w:r>
    </w:p>
    <w:p w14:paraId="244566AD">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a)</w:t>
      </w:r>
      <w:r>
        <w:rPr>
          <w:rFonts w:hint="eastAsia" w:ascii="宋体" w:hAnsi="宋体" w:eastAsia="宋体" w:cs="宋体"/>
        </w:rPr>
        <w:t xml:space="preserve"> 开始测量前宜评估测量场地的空间条件，如面积、高度、障碍物分布等；</w:t>
      </w:r>
    </w:p>
    <w:p w14:paraId="01C830E2">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扫描仪放置位置宜选择扫描视野能够覆盖全部目标区域，如桁段太大，每个测站应保证至少覆盖1根弦杆；</w:t>
      </w:r>
    </w:p>
    <w:p w14:paraId="5CCDFB9D">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w:t>
      </w:r>
      <w:r>
        <w:rPr>
          <w:rFonts w:hint="eastAsia" w:ascii="宋体" w:hAnsi="宋体" w:eastAsia="宋体" w:cs="宋体"/>
        </w:rPr>
        <w:t xml:space="preserve"> 宜控制测量过程中的测站尽可能少，不宜多于1</w:t>
      </w:r>
      <w:r>
        <w:rPr>
          <w:rFonts w:ascii="宋体" w:hAnsi="宋体" w:eastAsia="宋体" w:cs="宋体"/>
        </w:rPr>
        <w:t>2</w:t>
      </w:r>
      <w:r>
        <w:rPr>
          <w:rFonts w:hint="eastAsia" w:ascii="宋体" w:hAnsi="宋体" w:eastAsia="宋体" w:cs="宋体"/>
        </w:rPr>
        <w:t>站；</w:t>
      </w:r>
    </w:p>
    <w:p w14:paraId="6F541AF0">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d</w:t>
      </w:r>
      <w:r>
        <w:rPr>
          <w:rFonts w:ascii="宋体" w:hAnsi="宋体" w:eastAsia="宋体" w:cs="宋体"/>
        </w:rPr>
        <w:t xml:space="preserve">) </w:t>
      </w:r>
      <w:r>
        <w:rPr>
          <w:rFonts w:hint="eastAsia" w:ascii="宋体" w:hAnsi="宋体" w:eastAsia="宋体" w:cs="宋体"/>
        </w:rPr>
        <w:t>测量过程中，应检查标志物和控制点的分布是否满足精度要求，一根弦杆布置的标靶球不应小于2个；</w:t>
      </w:r>
    </w:p>
    <w:p w14:paraId="20C9F257">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 xml:space="preserve">e) </w:t>
      </w:r>
      <w:r>
        <w:rPr>
          <w:rFonts w:hint="eastAsia" w:ascii="宋体" w:hAnsi="宋体" w:eastAsia="宋体" w:cs="宋体"/>
        </w:rPr>
        <w:t>测量完成后，应立即对误差较大的测站进行复测。</w:t>
      </w:r>
    </w:p>
    <w:p w14:paraId="398B6AE6">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5.2.7　</w:t>
      </w:r>
      <w:r>
        <w:rPr>
          <w:rFonts w:hint="eastAsia" w:ascii="宋体" w:hAnsi="宋体" w:eastAsia="宋体" w:cs="宋体"/>
        </w:rPr>
        <w:t>手持三维激光扫描仪进行弦杆端部扫描时应符合下列规定：</w:t>
      </w:r>
    </w:p>
    <w:p w14:paraId="3FD45983">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a)</w:t>
      </w:r>
      <w:r>
        <w:rPr>
          <w:rFonts w:hint="eastAsia" w:ascii="宋体" w:hAnsi="宋体" w:eastAsia="宋体" w:cs="宋体"/>
        </w:rPr>
        <w:t xml:space="preserve"> 螺孔内壁及弦杆端部表面应扫描完整；</w:t>
      </w:r>
    </w:p>
    <w:p w14:paraId="12B0EF72">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 设备应避免连续使用超过30分钟；</w:t>
      </w:r>
    </w:p>
    <w:p w14:paraId="3DCC3BC3">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 xml:space="preserve">) </w:t>
      </w:r>
      <w:r>
        <w:rPr>
          <w:rFonts w:hint="eastAsia" w:ascii="宋体" w:hAnsi="宋体" w:eastAsia="宋体" w:cs="宋体"/>
        </w:rPr>
        <w:t>测量过程中，应及时查看计算机可视化结果，避免某些角度没有测量数据的情况出现。</w:t>
      </w:r>
    </w:p>
    <w:p w14:paraId="53ED6C53">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5.2.8　</w:t>
      </w:r>
      <w:r>
        <w:rPr>
          <w:rFonts w:hint="eastAsia" w:ascii="宋体" w:hAnsi="宋体" w:eastAsia="宋体" w:cs="宋体"/>
        </w:rPr>
        <w:t>激光跟踪仪或全站仪机器人在测量弦杆端部孔心坐标时，对于每一个孔心位置，应当记录测量环境，对于每一个测站，应按照表2</w:t>
      </w:r>
      <w:r>
        <w:rPr>
          <w:rFonts w:ascii="Times New Roman" w:hAnsi="Times New Roman" w:eastAsia="宋体" w:cs="Times New Roman"/>
        </w:rPr>
        <w:t>~</w:t>
      </w:r>
      <w:r>
        <w:rPr>
          <w:rFonts w:hint="eastAsia" w:ascii="宋体" w:hAnsi="宋体" w:eastAsia="宋体" w:cs="宋体"/>
        </w:rPr>
        <w:t>表3记录环境数据。</w:t>
      </w:r>
    </w:p>
    <w:p w14:paraId="0837F144">
      <w:pPr>
        <w:pStyle w:val="81"/>
        <w:numPr>
          <w:ilvl w:val="1"/>
          <w:numId w:val="0"/>
        </w:numPr>
        <w:spacing w:before="120" w:after="120"/>
        <w:rPr>
          <w:rFonts w:hint="eastAsia"/>
        </w:rPr>
      </w:pPr>
      <w:bookmarkStart w:id="52" w:name="_Toc149672440"/>
      <w:bookmarkStart w:id="53" w:name="_Toc28038"/>
      <w:bookmarkStart w:id="54" w:name="_Toc149672667"/>
      <w:bookmarkStart w:id="55" w:name="_Toc208327418"/>
      <w:r>
        <w:rPr>
          <w:rFonts w:hint="eastAsia" w:ascii="黑体" w:hAnsi="Times New Roman" w:cs="Times New Roman"/>
        </w:rPr>
        <w:t>5</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52"/>
      <w:bookmarkEnd w:id="53"/>
      <w:bookmarkEnd w:id="54"/>
      <w:r>
        <w:rPr>
          <w:rFonts w:hint="eastAsia"/>
        </w:rPr>
        <w:t>三维测量方案</w:t>
      </w:r>
      <w:bookmarkEnd w:id="55"/>
    </w:p>
    <w:p w14:paraId="46FA134C">
      <w:pPr>
        <w:pStyle w:val="59"/>
        <w:numPr>
          <w:ilvl w:val="2"/>
          <w:numId w:val="0"/>
        </w:numPr>
        <w:spacing w:before="79" w:after="79"/>
        <w:rPr>
          <w:rFonts w:ascii="黑体" w:hAnsi="Times New Roman" w:eastAsia="宋体"/>
        </w:rPr>
      </w:pPr>
      <w:r>
        <w:rPr>
          <w:rFonts w:hint="eastAsia" w:ascii="黑体" w:hAnsi="Times New Roman" w:eastAsia="宋体"/>
        </w:rPr>
        <w:t>5.3.1</w:t>
      </w:r>
      <w:r>
        <w:rPr>
          <w:rFonts w:ascii="黑体" w:hAnsi="Times New Roman" w:eastAsia="宋体"/>
        </w:rPr>
        <w:t>　</w:t>
      </w:r>
      <w:r>
        <w:rPr>
          <w:rFonts w:hint="eastAsia" w:ascii="黑体" w:hAnsi="Times New Roman" w:eastAsia="宋体"/>
        </w:rPr>
        <w:t>三维测量方案制定应符合下列规定：</w:t>
      </w:r>
    </w:p>
    <w:p w14:paraId="21DAA210">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测量前应梳理测量的对象、测量的具体目的和范围、参数和精度要求；</w:t>
      </w:r>
    </w:p>
    <w:p w14:paraId="714DCB22">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设计的测量方案宜包括桁段测量点的位置、测量路径、人员分工等；</w:t>
      </w:r>
    </w:p>
    <w:p w14:paraId="0228814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c）宜在测量前进行测量工装的设计与安装。</w:t>
      </w:r>
    </w:p>
    <w:p w14:paraId="4D124FCA">
      <w:pPr>
        <w:pStyle w:val="59"/>
        <w:numPr>
          <w:ilvl w:val="2"/>
          <w:numId w:val="0"/>
        </w:numPr>
        <w:spacing w:before="79" w:after="79"/>
        <w:rPr>
          <w:rFonts w:ascii="黑体" w:hAnsi="Times New Roman" w:eastAsia="宋体"/>
        </w:rPr>
      </w:pPr>
      <w:r>
        <w:rPr>
          <w:rFonts w:hint="eastAsia" w:ascii="黑体" w:hAnsi="Times New Roman" w:eastAsia="宋体"/>
        </w:rPr>
        <w:t>5.3.2</w:t>
      </w:r>
      <w:r>
        <w:rPr>
          <w:rFonts w:ascii="黑体" w:hAnsi="Times New Roman" w:eastAsia="宋体"/>
        </w:rPr>
        <w:t>　</w:t>
      </w:r>
      <w:r>
        <w:rPr>
          <w:rFonts w:hint="eastAsia" w:ascii="黑体" w:hAnsi="Times New Roman" w:eastAsia="宋体"/>
        </w:rPr>
        <w:t>开展构件几何尺寸测量应当包含下列内容：</w:t>
      </w:r>
    </w:p>
    <w:p w14:paraId="73F72A1A">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应采用三维激光扫描仪测量弦杆端部的点云数据；</w:t>
      </w:r>
    </w:p>
    <w:p w14:paraId="3606B23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应使用激光跟踪仪或全站仪机器人测量弦杆长度、桁段高度及宽度等参数，建议多次更换测站测量后取平均值。</w:t>
      </w:r>
    </w:p>
    <w:p w14:paraId="2390503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构件测量结果需依据其特征，运用数学方程融合多测量点进行拟合，避免以单一测点结果为准。</w:t>
      </w:r>
    </w:p>
    <w:p w14:paraId="79B911D3">
      <w:pPr>
        <w:pStyle w:val="59"/>
        <w:numPr>
          <w:ilvl w:val="2"/>
          <w:numId w:val="0"/>
        </w:numPr>
        <w:spacing w:before="79" w:after="79"/>
        <w:rPr>
          <w:rFonts w:ascii="黑体" w:hAnsi="Times New Roman" w:eastAsia="宋体"/>
        </w:rPr>
      </w:pPr>
      <w:r>
        <w:rPr>
          <w:rFonts w:hint="eastAsia" w:ascii="黑体" w:hAnsi="Times New Roman" w:eastAsia="宋体"/>
        </w:rPr>
        <w:t>5.3.3</w:t>
      </w:r>
      <w:r>
        <w:rPr>
          <w:rFonts w:ascii="黑体" w:hAnsi="Times New Roman" w:eastAsia="宋体"/>
        </w:rPr>
        <w:t>　</w:t>
      </w:r>
      <w:r>
        <w:rPr>
          <w:rFonts w:hint="eastAsia" w:ascii="黑体" w:hAnsi="Times New Roman" w:eastAsia="宋体"/>
        </w:rPr>
        <w:t>桁段特征点测量应符合下列规定：</w:t>
      </w:r>
    </w:p>
    <w:p w14:paraId="2F3591F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应选择分布均匀、易于测量与位置稳定的点作为桁段的特征点，宜选择弦杆端部的孔群角点作为特征点；</w:t>
      </w:r>
    </w:p>
    <w:p w14:paraId="7A8D251B">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应对桁段上的特征点位置进行标定；</w:t>
      </w:r>
    </w:p>
    <w:p w14:paraId="7588AD53">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宜对特征点采取逐一测量的方式获取空间坐标；</w:t>
      </w:r>
    </w:p>
    <w:p w14:paraId="3850F34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d) 宜使用专业平差软件对特征点测量数据进行质量控制。</w:t>
      </w:r>
    </w:p>
    <w:p w14:paraId="4C94542E">
      <w:pPr>
        <w:pStyle w:val="55"/>
        <w:numPr>
          <w:ilvl w:val="0"/>
          <w:numId w:val="0"/>
        </w:numPr>
        <w:tabs>
          <w:tab w:val="clear" w:pos="420"/>
        </w:tabs>
        <w:rPr>
          <w:rFonts w:hint="eastAsia"/>
        </w:rPr>
      </w:pPr>
      <w:bookmarkStart w:id="56" w:name="_Toc13982"/>
      <w:bookmarkStart w:id="57" w:name="_Toc149672443"/>
      <w:bookmarkStart w:id="58" w:name="_Toc208327419"/>
      <w:r>
        <w:rPr>
          <w:rFonts w:hAnsi="Times New Roman"/>
        </w:rPr>
        <w:t>6</w:t>
      </w:r>
      <w:r>
        <w:rPr>
          <w:rFonts w:hint="eastAsia" w:hAnsi="Times New Roman"/>
        </w:rPr>
        <w:t xml:space="preserve">  </w:t>
      </w:r>
      <w:bookmarkEnd w:id="56"/>
      <w:bookmarkEnd w:id="57"/>
      <w:r>
        <w:rPr>
          <w:rFonts w:hint="eastAsia"/>
        </w:rPr>
        <w:t>制造尺寸检测</w:t>
      </w:r>
      <w:bookmarkEnd w:id="58"/>
    </w:p>
    <w:p w14:paraId="409CF917">
      <w:pPr>
        <w:pStyle w:val="81"/>
        <w:numPr>
          <w:ilvl w:val="1"/>
          <w:numId w:val="0"/>
        </w:numPr>
        <w:spacing w:before="120" w:after="120"/>
        <w:rPr>
          <w:rFonts w:hint="eastAsia"/>
        </w:rPr>
      </w:pPr>
      <w:bookmarkStart w:id="59" w:name="_Toc208327420"/>
      <w:bookmarkStart w:id="60" w:name="_Toc11667"/>
      <w:bookmarkStart w:id="61" w:name="_Toc149672444"/>
      <w:bookmarkStart w:id="62" w:name="_Toc149672671"/>
      <w:r>
        <w:rPr>
          <w:rFonts w:hint="eastAsia" w:ascii="黑体" w:hAnsi="Times New Roman" w:cs="Times New Roman"/>
        </w:rPr>
        <w:t>6</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59"/>
      <w:bookmarkEnd w:id="60"/>
      <w:bookmarkEnd w:id="61"/>
      <w:bookmarkEnd w:id="62"/>
    </w:p>
    <w:p w14:paraId="52776AB6">
      <w:pPr>
        <w:pStyle w:val="59"/>
        <w:numPr>
          <w:ilvl w:val="2"/>
          <w:numId w:val="0"/>
        </w:numPr>
        <w:spacing w:before="79" w:after="79"/>
        <w:rPr>
          <w:rFonts w:ascii="黑体" w:hAnsi="Times New Roman" w:eastAsia="宋体"/>
        </w:rPr>
      </w:pPr>
      <w:r>
        <w:rPr>
          <w:rFonts w:hint="eastAsia" w:ascii="黑体" w:hAnsi="Times New Roman" w:eastAsia="宋体"/>
        </w:rPr>
        <w:t>6.1.1</w:t>
      </w:r>
      <w:r>
        <w:rPr>
          <w:rFonts w:ascii="黑体" w:hAnsi="Times New Roman" w:eastAsia="宋体"/>
        </w:rPr>
        <w:t>　</w:t>
      </w:r>
      <w:r>
        <w:rPr>
          <w:rFonts w:hint="eastAsia" w:ascii="黑体" w:hAnsi="Times New Roman" w:eastAsia="宋体"/>
        </w:rPr>
        <w:t>所有参与数字测量的钢构件、零件、大节段须经监理单位检验合格，检测前需记录弦杆长度、腹杆长度、节点位置等设计值，以便与测量值对比。</w:t>
      </w:r>
    </w:p>
    <w:p w14:paraId="4E93BA7E">
      <w:pPr>
        <w:pStyle w:val="59"/>
        <w:numPr>
          <w:ilvl w:val="2"/>
          <w:numId w:val="0"/>
        </w:numPr>
        <w:spacing w:before="79" w:after="79"/>
        <w:rPr>
          <w:rFonts w:ascii="黑体" w:hAnsi="Times New Roman" w:eastAsia="宋体"/>
        </w:rPr>
      </w:pPr>
      <w:r>
        <w:rPr>
          <w:rFonts w:hint="eastAsia" w:ascii="黑体" w:hAnsi="Times New Roman" w:eastAsia="宋体"/>
        </w:rPr>
        <w:t>6.1.2</w:t>
      </w:r>
      <w:r>
        <w:rPr>
          <w:rFonts w:ascii="黑体" w:hAnsi="Times New Roman" w:eastAsia="宋体"/>
        </w:rPr>
        <w:t>　</w:t>
      </w:r>
      <w:r>
        <w:rPr>
          <w:rFonts w:hint="eastAsia" w:ascii="黑体" w:hAnsi="Times New Roman" w:eastAsia="宋体"/>
        </w:rPr>
        <w:t>数据处理标准应明确坐标系建立、数据配准等要求，采用顺桥向X轴、竖桥向Y轴、右手螺旋定则Z轴的全桥坐标系。</w:t>
      </w:r>
    </w:p>
    <w:p w14:paraId="2B125627">
      <w:pPr>
        <w:pStyle w:val="59"/>
        <w:numPr>
          <w:ilvl w:val="2"/>
          <w:numId w:val="0"/>
        </w:numPr>
        <w:spacing w:before="79" w:after="79"/>
        <w:rPr>
          <w:rFonts w:ascii="黑体" w:hAnsi="Times New Roman" w:eastAsia="宋体"/>
        </w:rPr>
      </w:pPr>
      <w:r>
        <w:rPr>
          <w:rFonts w:hint="eastAsia" w:ascii="黑体" w:hAnsi="Times New Roman" w:eastAsia="宋体"/>
        </w:rPr>
        <w:t>6.1.3</w:t>
      </w:r>
      <w:r>
        <w:rPr>
          <w:rFonts w:ascii="黑体" w:hAnsi="Times New Roman" w:eastAsia="宋体"/>
        </w:rPr>
        <w:t>　</w:t>
      </w:r>
      <w:r>
        <w:rPr>
          <w:rFonts w:hint="eastAsia" w:ascii="黑体" w:hAnsi="Times New Roman" w:eastAsia="宋体"/>
        </w:rPr>
        <w:t>尺寸配准偏差的评价方法和判定标准宜采用坐标差或者空间距离的形式进行，计算坐标差与空间距离时应采用三维坐标开展。</w:t>
      </w:r>
    </w:p>
    <w:p w14:paraId="332A0282">
      <w:pPr>
        <w:pStyle w:val="59"/>
        <w:numPr>
          <w:ilvl w:val="2"/>
          <w:numId w:val="0"/>
        </w:numPr>
        <w:spacing w:before="79" w:after="79"/>
      </w:pPr>
      <w:r>
        <w:rPr>
          <w:rFonts w:hint="eastAsia" w:ascii="黑体" w:hAnsi="Times New Roman" w:eastAsia="宋体"/>
        </w:rPr>
        <w:t>6.1.4</w:t>
      </w:r>
      <w:r>
        <w:rPr>
          <w:rFonts w:ascii="黑体" w:hAnsi="Times New Roman" w:eastAsia="宋体"/>
        </w:rPr>
        <w:t>　</w:t>
      </w:r>
      <w:r>
        <w:rPr>
          <w:rFonts w:hint="eastAsia" w:ascii="黑体" w:hAnsi="Times New Roman" w:eastAsia="宋体"/>
        </w:rPr>
        <w:t>检测应规定检测结果的复核和校验机制，对用于配准的特征点进行最少2次的重复观测。</w:t>
      </w:r>
    </w:p>
    <w:p w14:paraId="1D4A67AF">
      <w:pPr>
        <w:pStyle w:val="81"/>
        <w:numPr>
          <w:ilvl w:val="1"/>
          <w:numId w:val="0"/>
        </w:numPr>
        <w:spacing w:before="120" w:after="120"/>
        <w:rPr>
          <w:rFonts w:hint="eastAsia"/>
        </w:rPr>
      </w:pPr>
      <w:bookmarkStart w:id="63" w:name="_Toc149672672"/>
      <w:bookmarkStart w:id="64" w:name="_Toc8618"/>
      <w:bookmarkStart w:id="65" w:name="_Toc149672445"/>
      <w:bookmarkStart w:id="66" w:name="_Toc208327421"/>
      <w:r>
        <w:rPr>
          <w:rFonts w:hint="eastAsia" w:ascii="黑体" w:hAnsi="Times New Roman" w:cs="Times New Roman"/>
        </w:rPr>
        <w:t>6</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63"/>
      <w:bookmarkEnd w:id="64"/>
      <w:bookmarkEnd w:id="65"/>
      <w:r>
        <w:rPr>
          <w:rFonts w:hint="eastAsia"/>
        </w:rPr>
        <w:t>尺寸检测实施</w:t>
      </w:r>
      <w:bookmarkEnd w:id="66"/>
    </w:p>
    <w:p w14:paraId="7026B9B3">
      <w:pPr>
        <w:pStyle w:val="59"/>
        <w:numPr>
          <w:ilvl w:val="2"/>
          <w:numId w:val="0"/>
        </w:numPr>
        <w:spacing w:before="79" w:after="79"/>
        <w:rPr>
          <w:rFonts w:ascii="黑体" w:hAnsi="Times New Roman" w:eastAsia="宋体"/>
        </w:rPr>
      </w:pPr>
      <w:r>
        <w:rPr>
          <w:rFonts w:hint="eastAsia" w:ascii="黑体" w:hAnsi="Times New Roman" w:eastAsia="宋体"/>
        </w:rPr>
        <w:t>6.2.1 制造尺寸检测应包含检测设备选取、杆件长度检测、节点尺寸检测、整体尺寸检测、生成检测报告等内容。</w:t>
      </w:r>
    </w:p>
    <w:p w14:paraId="734992BF">
      <w:pPr>
        <w:pStyle w:val="59"/>
        <w:numPr>
          <w:ilvl w:val="2"/>
          <w:numId w:val="0"/>
        </w:numPr>
        <w:spacing w:before="79" w:after="79"/>
        <w:rPr>
          <w:rFonts w:ascii="黑体" w:hAnsi="Times New Roman" w:eastAsia="宋体"/>
        </w:rPr>
      </w:pPr>
      <w:r>
        <w:rPr>
          <w:rFonts w:hint="eastAsia" w:ascii="黑体" w:hAnsi="Times New Roman" w:eastAsia="宋体"/>
        </w:rPr>
        <w:t>6.2.2 节点尺寸检测通常应当包含以下几个方面：</w:t>
      </w:r>
    </w:p>
    <w:p w14:paraId="5579E30F">
      <w:pPr>
        <w:pStyle w:val="59"/>
        <w:numPr>
          <w:ilvl w:val="2"/>
          <w:numId w:val="0"/>
        </w:numPr>
        <w:spacing w:before="0" w:beforeLines="0" w:after="0" w:afterLines="0"/>
        <w:ind w:firstLine="420" w:firstLineChars="200"/>
        <w:rPr>
          <w:rFonts w:ascii="黑体" w:hAnsi="Times New Roman" w:eastAsia="宋体"/>
        </w:rPr>
      </w:pPr>
      <w:r>
        <w:rPr>
          <w:rFonts w:hint="eastAsia" w:ascii="黑体" w:hAnsi="Times New Roman" w:eastAsia="宋体"/>
        </w:rPr>
        <w:t>a) 应对节点的长度、宽度、高度等各个尺寸参数进行测量；</w:t>
      </w:r>
    </w:p>
    <w:p w14:paraId="36040633">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宜对检测节点中连接孔孔心位置、孔径大小等参数进行检测；</w:t>
      </w:r>
    </w:p>
    <w:p w14:paraId="771F15B2">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宜应对检测节点中板材的厚度进行测量；</w:t>
      </w:r>
    </w:p>
    <w:p w14:paraId="29B00F6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d) 应根据节点尺寸公差标准与阈值，对测量结果进行质量评定。</w:t>
      </w:r>
    </w:p>
    <w:p w14:paraId="4DC21F13">
      <w:pPr>
        <w:pStyle w:val="59"/>
        <w:numPr>
          <w:ilvl w:val="2"/>
          <w:numId w:val="0"/>
        </w:numPr>
        <w:spacing w:before="79" w:after="79"/>
        <w:rPr>
          <w:rFonts w:ascii="黑体" w:hAnsi="Times New Roman" w:eastAsia="宋体"/>
        </w:rPr>
      </w:pPr>
      <w:r>
        <w:rPr>
          <w:rFonts w:hint="eastAsia" w:ascii="黑体" w:hAnsi="Times New Roman" w:eastAsia="宋体"/>
        </w:rPr>
        <w:t>6.2.3 开展整体尺寸检测的内容应包含弦杆长度、桁段宽度，桁段高度、桁段形位偏差。</w:t>
      </w:r>
    </w:p>
    <w:p w14:paraId="63D8AEDC">
      <w:pPr>
        <w:pStyle w:val="81"/>
        <w:numPr>
          <w:ilvl w:val="1"/>
          <w:numId w:val="0"/>
        </w:numPr>
        <w:spacing w:before="120" w:after="120"/>
        <w:rPr>
          <w:rFonts w:hint="eastAsia"/>
        </w:rPr>
      </w:pPr>
      <w:bookmarkStart w:id="67" w:name="_Toc149672673"/>
      <w:bookmarkStart w:id="68" w:name="_Toc22115"/>
      <w:bookmarkStart w:id="69" w:name="_Toc149672446"/>
      <w:bookmarkStart w:id="70" w:name="_Toc208327422"/>
      <w:r>
        <w:rPr>
          <w:rFonts w:hint="eastAsia" w:ascii="黑体" w:hAnsi="Times New Roman" w:cs="Times New Roman"/>
        </w:rPr>
        <w:t>6</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67"/>
      <w:bookmarkEnd w:id="68"/>
      <w:bookmarkEnd w:id="69"/>
      <w:r>
        <w:rPr>
          <w:rFonts w:hint="eastAsia"/>
        </w:rPr>
        <w:t>尺寸检测质量评价</w:t>
      </w:r>
      <w:bookmarkEnd w:id="70"/>
    </w:p>
    <w:p w14:paraId="4A28F0B5">
      <w:pPr>
        <w:numPr>
          <w:ilvl w:val="2"/>
          <w:numId w:val="0"/>
        </w:numPr>
        <w:tabs>
          <w:tab w:val="left" w:pos="0"/>
        </w:tabs>
        <w:spacing w:before="79" w:beforeLines="33" w:after="79" w:afterLines="33"/>
        <w:jc w:val="left"/>
        <w:rPr>
          <w:rFonts w:ascii="黑体" w:hAnsi="Times New Roman" w:eastAsia="宋体"/>
        </w:rPr>
      </w:pPr>
      <w:bookmarkStart w:id="71" w:name="_Toc149672674"/>
      <w:bookmarkStart w:id="72" w:name="_Toc25508"/>
      <w:bookmarkStart w:id="73" w:name="_Toc149672447"/>
      <w:r>
        <w:rPr>
          <w:rFonts w:hint="eastAsia" w:ascii="黑体" w:hAnsi="Times New Roman" w:eastAsia="宋体"/>
        </w:rPr>
        <w:t>6.3.1</w:t>
      </w:r>
      <w:r>
        <w:rPr>
          <w:rFonts w:ascii="黑体" w:hAnsi="Times New Roman" w:eastAsia="黑体" w:cs="Times New Roman"/>
          <w:color w:val="000000" w:themeColor="text1"/>
          <w:szCs w:val="21"/>
          <w14:textFill>
            <w14:solidFill>
              <w14:schemeClr w14:val="tx1"/>
            </w14:solidFill>
          </w14:textFill>
        </w:rPr>
        <w:t>　</w:t>
      </w:r>
      <w:r>
        <w:rPr>
          <w:rFonts w:hint="eastAsia" w:ascii="黑体" w:hAnsi="Times New Roman" w:eastAsia="宋体"/>
        </w:rPr>
        <w:t>尺寸检测质量对应</w:t>
      </w:r>
      <w:r>
        <w:rPr>
          <w:rFonts w:hint="eastAsia" w:ascii="Arial" w:hAnsi="Arial"/>
        </w:rPr>
        <w:t>书面</w:t>
      </w:r>
      <w:r>
        <w:rPr>
          <w:rFonts w:hint="eastAsia" w:ascii="黑体" w:hAnsi="Times New Roman" w:eastAsia="宋体"/>
        </w:rPr>
        <w:t>报告在内容上有以下几个方面的要求：</w:t>
      </w:r>
    </w:p>
    <w:p w14:paraId="4C788AB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尺寸检测的项目概况应包括工程项目名称、桁段基本信息、检测目的和依据等基本情况；</w:t>
      </w:r>
    </w:p>
    <w:p w14:paraId="7ABD091C">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应当包含测量过程中的测站位置、转站点位、测点位置，温度、湿度与气压；</w:t>
      </w:r>
    </w:p>
    <w:p w14:paraId="21D8A4A5">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应详细列出所有采集的原始测量数据，并阐述点云数据拟合所采用的算法及其处理流程；</w:t>
      </w:r>
    </w:p>
    <w:p w14:paraId="1CED7FAB">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应当梳理检测的具体对象：螺孔直径、弦杆长度、桁段宽度、桁段高度，桁段形位偏差。</w:t>
      </w:r>
    </w:p>
    <w:p w14:paraId="20182AC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基于检测对象的测量结果，系统应自动生成相应的偏差报告，其中形位偏差图需明确标注桁段名称、设计坐标、实际测量坐标、偏差数值及偏离方向。形位偏差在桁高方向阈值为±2mm，在弦长方向阈值为±2mm。</w:t>
      </w:r>
    </w:p>
    <w:bookmarkEnd w:id="71"/>
    <w:bookmarkEnd w:id="72"/>
    <w:bookmarkEnd w:id="73"/>
    <w:p w14:paraId="66D5660F">
      <w:pPr>
        <w:pStyle w:val="55"/>
        <w:numPr>
          <w:ilvl w:val="0"/>
          <w:numId w:val="0"/>
        </w:numPr>
        <w:rPr>
          <w:rFonts w:hint="eastAsia"/>
        </w:rPr>
      </w:pPr>
      <w:bookmarkStart w:id="74" w:name="_Toc7362"/>
      <w:bookmarkStart w:id="75" w:name="_Toc149672450"/>
      <w:bookmarkStart w:id="76" w:name="_Toc208327423"/>
      <w:r>
        <w:rPr>
          <w:rFonts w:hAnsi="Times New Roman"/>
        </w:rPr>
        <w:t>7</w:t>
      </w:r>
      <w:r>
        <w:rPr>
          <w:rFonts w:hint="eastAsia" w:hAnsi="Times New Roman"/>
        </w:rPr>
        <w:t xml:space="preserve">  </w:t>
      </w:r>
      <w:bookmarkEnd w:id="74"/>
      <w:bookmarkEnd w:id="75"/>
      <w:r>
        <w:rPr>
          <w:rFonts w:hint="eastAsia"/>
        </w:rPr>
        <w:t>数字化预拼装与误差估计</w:t>
      </w:r>
      <w:bookmarkEnd w:id="76"/>
    </w:p>
    <w:p w14:paraId="61724DCB">
      <w:pPr>
        <w:pStyle w:val="81"/>
        <w:numPr>
          <w:ilvl w:val="1"/>
          <w:numId w:val="0"/>
        </w:numPr>
        <w:spacing w:before="120" w:after="120"/>
        <w:rPr>
          <w:rFonts w:hint="eastAsia"/>
        </w:rPr>
      </w:pPr>
      <w:bookmarkStart w:id="77" w:name="_Toc149672451"/>
      <w:bookmarkStart w:id="78" w:name="_Toc9508"/>
      <w:bookmarkStart w:id="79" w:name="_Toc208327424"/>
      <w:r>
        <w:rPr>
          <w:rFonts w:hint="eastAsia" w:ascii="黑体" w:hAnsi="Times New Roman" w:cs="Times New Roman"/>
        </w:rPr>
        <w:t>7</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77"/>
      <w:bookmarkEnd w:id="78"/>
      <w:bookmarkEnd w:id="79"/>
    </w:p>
    <w:p w14:paraId="462449A2">
      <w:pPr>
        <w:numPr>
          <w:ilvl w:val="2"/>
          <w:numId w:val="0"/>
        </w:numPr>
        <w:tabs>
          <w:tab w:val="left" w:pos="0"/>
        </w:tabs>
        <w:spacing w:before="79" w:beforeLines="33" w:after="79" w:afterLines="33"/>
        <w:jc w:val="left"/>
        <w:rPr>
          <w:rFonts w:ascii="Arial" w:hAnsi="Arial"/>
        </w:rPr>
      </w:pPr>
      <w:bookmarkStart w:id="80" w:name="_Toc149672452"/>
      <w:bookmarkStart w:id="81" w:name="_Toc6729"/>
      <w:bookmarkStart w:id="82" w:name="_Toc149672679"/>
      <w:r>
        <w:rPr>
          <w:rFonts w:hint="eastAsia" w:ascii="Arial" w:hAnsi="Arial"/>
        </w:rPr>
        <w:t>7</w:t>
      </w:r>
      <w:r>
        <w:rPr>
          <w:rFonts w:ascii="Arial" w:hAnsi="Arial"/>
        </w:rPr>
        <w:t>.1.1</w:t>
      </w:r>
      <w:r>
        <w:rPr>
          <w:rFonts w:ascii="黑体" w:hAnsi="Times New Roman" w:eastAsia="宋体"/>
        </w:rPr>
        <w:t>　</w:t>
      </w:r>
      <w:r>
        <w:rPr>
          <w:rFonts w:hint="eastAsia" w:ascii="Arial" w:hAnsi="Arial"/>
        </w:rPr>
        <w:t>数字化预拼装的输入数据应包含设计</w:t>
      </w:r>
      <w:r>
        <w:rPr>
          <w:rFonts w:ascii="Arial" w:hAnsi="Arial"/>
        </w:rPr>
        <w:t>BIM</w:t>
      </w:r>
      <w:r>
        <w:rPr>
          <w:rFonts w:hint="eastAsia" w:ascii="Arial" w:hAnsi="Arial"/>
        </w:rPr>
        <w:t>模型、测量数据、特征拟合结果。</w:t>
      </w:r>
    </w:p>
    <w:p w14:paraId="2D74302F">
      <w:pPr>
        <w:numPr>
          <w:ilvl w:val="2"/>
          <w:numId w:val="0"/>
        </w:numPr>
        <w:tabs>
          <w:tab w:val="left" w:pos="0"/>
        </w:tabs>
        <w:spacing w:before="79" w:beforeLines="33" w:after="79" w:afterLines="33"/>
        <w:jc w:val="left"/>
        <w:rPr>
          <w:rFonts w:ascii="Arial" w:hAnsi="Arial"/>
        </w:rPr>
      </w:pPr>
      <w:r>
        <w:rPr>
          <w:rFonts w:ascii="Arial" w:hAnsi="Arial"/>
        </w:rPr>
        <w:t>7.1.</w:t>
      </w:r>
      <w:r>
        <w:rPr>
          <w:rFonts w:hint="eastAsia" w:ascii="Arial" w:hAnsi="Arial"/>
        </w:rPr>
        <w:t>2</w:t>
      </w:r>
      <w:r>
        <w:rPr>
          <w:rFonts w:ascii="黑体" w:hAnsi="Times New Roman" w:eastAsia="宋体"/>
        </w:rPr>
        <w:t>　</w:t>
      </w:r>
      <w:r>
        <w:rPr>
          <w:rFonts w:hint="eastAsia" w:ascii="Arial" w:hAnsi="Arial"/>
        </w:rPr>
        <w:t>应规定数字化预拼装数据的存储、共享和应用要求，宜使用PLY、OBJ、STL、P</w:t>
      </w:r>
      <w:r>
        <w:rPr>
          <w:rFonts w:ascii="Arial" w:hAnsi="Arial"/>
        </w:rPr>
        <w:t>CD</w:t>
      </w:r>
      <w:r>
        <w:rPr>
          <w:rFonts w:hint="eastAsia" w:ascii="Arial" w:hAnsi="Arial"/>
        </w:rPr>
        <w:t>等通用且兼容性强的数据格式存储。</w:t>
      </w:r>
    </w:p>
    <w:p w14:paraId="341934D1">
      <w:pPr>
        <w:pStyle w:val="59"/>
        <w:numPr>
          <w:ilvl w:val="2"/>
          <w:numId w:val="0"/>
        </w:numPr>
        <w:spacing w:before="79" w:after="79"/>
      </w:pPr>
      <w:r>
        <w:t>7.1.</w:t>
      </w:r>
      <w:r>
        <w:rPr>
          <w:rFonts w:hint="eastAsia"/>
        </w:rPr>
        <w:t>3</w:t>
      </w:r>
      <w:r>
        <w:rPr>
          <w:rFonts w:ascii="黑体" w:hAnsi="Times New Roman" w:eastAsia="宋体"/>
        </w:rPr>
        <w:t>　</w:t>
      </w:r>
      <w:r>
        <w:rPr>
          <w:rFonts w:hint="eastAsia"/>
        </w:rPr>
        <w:t>数字化预拼装宜制定包括坐标偏差、距离偏差、形位偏差等内容。</w:t>
      </w:r>
    </w:p>
    <w:p w14:paraId="1B28BADD">
      <w:pPr>
        <w:pStyle w:val="59"/>
        <w:numPr>
          <w:ilvl w:val="2"/>
          <w:numId w:val="0"/>
        </w:numPr>
        <w:spacing w:before="79" w:after="79"/>
      </w:pPr>
      <w:r>
        <w:rPr>
          <w:rFonts w:hint="eastAsia"/>
        </w:rPr>
        <w:t>7</w:t>
      </w:r>
      <w:r>
        <w:t>.1.</w:t>
      </w:r>
      <w:r>
        <w:rPr>
          <w:rFonts w:hint="eastAsia"/>
        </w:rPr>
        <w:t>4</w:t>
      </w:r>
      <w:r>
        <w:rPr>
          <w:rFonts w:ascii="黑体" w:hAnsi="Times New Roman" w:eastAsia="宋体"/>
        </w:rPr>
        <w:t>　</w:t>
      </w:r>
      <w:r>
        <w:rPr>
          <w:rFonts w:hint="eastAsia"/>
        </w:rPr>
        <w:t>应规定数字化预拼装采用的技术路线、数字化预拼装的操作流程和关键步骤，操作流程应包含特征提取、点云配准、预拼装算法、偏差评估、</w:t>
      </w:r>
      <w:r>
        <w:t>调</w:t>
      </w:r>
      <w:r>
        <w:rPr>
          <w:rFonts w:hint="eastAsia"/>
        </w:rPr>
        <w:t>整建议等。数字化预拼装宜遵循图3所述技术流程。</w:t>
      </w:r>
    </w:p>
    <w:p w14:paraId="27299FF6">
      <w:pPr>
        <w:adjustRightInd w:val="0"/>
        <w:spacing w:line="360" w:lineRule="auto"/>
        <w:ind w:right="176"/>
        <w:jc w:val="center"/>
        <w:rPr>
          <w:rFonts w:ascii="宋体" w:hAnsi="Times New Roman" w:eastAsia="宋体" w:cs="Times New Roman"/>
          <w:szCs w:val="20"/>
        </w:rPr>
      </w:pPr>
      <w:r>
        <w:rPr>
          <w:rFonts w:ascii="宋体" w:hAnsi="Times New Roman" w:eastAsia="宋体" w:cs="Times New Roman"/>
          <w:szCs w:val="20"/>
        </w:rPr>
        <w:object>
          <v:shape id="_x0000_i1027" o:spt="75" type="#_x0000_t75" style="height:210.3pt;width:365.65pt;" o:ole="t" filled="f" o:preferrelative="t" stroked="f" coordsize="21600,21600">
            <v:path/>
            <v:fill on="f" focussize="0,0"/>
            <v:stroke on="f" joinstyle="miter"/>
            <v:imagedata r:id="rId19" o:title=""/>
            <o:lock v:ext="edit" aspectratio="t"/>
            <w10:wrap type="none"/>
            <w10:anchorlock/>
          </v:shape>
          <o:OLEObject Type="Embed" ProgID="Visio.Drawing.15" ShapeID="_x0000_i1027" DrawAspect="Content" ObjectID="_1468075727" r:id="rId18">
            <o:LockedField>false</o:LockedField>
          </o:OLEObject>
        </w:object>
      </w:r>
    </w:p>
    <w:p w14:paraId="477B94D2">
      <w:pPr>
        <w:pStyle w:val="12"/>
        <w:spacing w:before="120" w:after="120"/>
        <w:rPr>
          <w:rFonts w:hint="eastAsia"/>
        </w:rPr>
      </w:pPr>
      <w:r>
        <w:rPr>
          <w:rFonts w:hint="eastAsia"/>
        </w:rPr>
        <w:t>图 3  数字化预拼装技术流程</w:t>
      </w:r>
    </w:p>
    <w:p w14:paraId="460924D6">
      <w:pPr>
        <w:pStyle w:val="59"/>
        <w:numPr>
          <w:ilvl w:val="2"/>
          <w:numId w:val="0"/>
        </w:numPr>
        <w:spacing w:before="79" w:after="79"/>
        <w:rPr>
          <w:rFonts w:ascii="黑体" w:hAnsi="Times New Roman" w:eastAsia="宋体"/>
        </w:rPr>
      </w:pPr>
      <w:r>
        <w:rPr>
          <w:rFonts w:hint="eastAsia" w:ascii="黑体" w:hAnsi="Times New Roman" w:eastAsia="宋体"/>
        </w:rPr>
        <w:t>7.1.5 应以弦杆端部螺孔偏差值作为评价指标。</w:t>
      </w:r>
    </w:p>
    <w:p w14:paraId="350C775A">
      <w:pPr>
        <w:pStyle w:val="81"/>
        <w:numPr>
          <w:ilvl w:val="1"/>
          <w:numId w:val="0"/>
        </w:numPr>
        <w:spacing w:before="120" w:after="120"/>
        <w:rPr>
          <w:rFonts w:hint="eastAsia"/>
        </w:rPr>
      </w:pPr>
      <w:bookmarkStart w:id="83" w:name="_Toc208327425"/>
      <w:r>
        <w:rPr>
          <w:rFonts w:hint="eastAsia" w:ascii="黑体" w:hAnsi="Times New Roman" w:cs="Times New Roman"/>
        </w:rPr>
        <w:t>7</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80"/>
      <w:bookmarkEnd w:id="81"/>
      <w:bookmarkEnd w:id="82"/>
      <w:r>
        <w:rPr>
          <w:rFonts w:hint="eastAsia"/>
        </w:rPr>
        <w:t>数字化预拼装</w:t>
      </w:r>
      <w:bookmarkEnd w:id="83"/>
    </w:p>
    <w:p w14:paraId="661101FF">
      <w:pPr>
        <w:numPr>
          <w:ilvl w:val="2"/>
          <w:numId w:val="0"/>
        </w:numPr>
        <w:tabs>
          <w:tab w:val="left" w:pos="0"/>
        </w:tabs>
        <w:spacing w:before="79" w:beforeLines="33" w:after="79" w:afterLines="33"/>
        <w:jc w:val="left"/>
        <w:rPr>
          <w:rFonts w:ascii="黑体" w:hAnsi="Times New Roman" w:eastAsia="宋体"/>
        </w:rPr>
      </w:pPr>
      <w:bookmarkStart w:id="84" w:name="_Toc149672681"/>
      <w:bookmarkStart w:id="85" w:name="_Toc149672454"/>
      <w:bookmarkStart w:id="86" w:name="_Toc16103"/>
      <w:r>
        <w:rPr>
          <w:rFonts w:hint="eastAsia" w:ascii="黑体" w:hAnsi="Times New Roman" w:eastAsia="宋体"/>
        </w:rPr>
        <w:t>7.2.1 数字化预拼装应</w:t>
      </w:r>
      <w:r>
        <w:rPr>
          <w:rFonts w:hint="eastAsia" w:ascii="Arial" w:hAnsi="Arial"/>
        </w:rPr>
        <w:t>包含</w:t>
      </w:r>
      <w:r>
        <w:rPr>
          <w:rFonts w:hint="eastAsia" w:ascii="黑体" w:hAnsi="Times New Roman" w:eastAsia="宋体"/>
        </w:rPr>
        <w:t>桁段逆向建模、桁段数字化预拼装等环节。</w:t>
      </w:r>
    </w:p>
    <w:p w14:paraId="2A695085">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7.2.2 桁段逆向建模应该符合下列规定：</w:t>
      </w:r>
    </w:p>
    <w:p w14:paraId="2251A2E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应对采集到的原始三维测量数据进行清理、去噪、配准、网格化等处理，形成连续、完整的三维点云模型或初步的曲面模型；</w:t>
      </w:r>
    </w:p>
    <w:p w14:paraId="11C2F3F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应利用点云数据和拟合算法构建高精度曲面模型；</w:t>
      </w:r>
    </w:p>
    <w:p w14:paraId="7C741473">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应通过逆向模型拟合获取端部螺孔坐标信息。</w:t>
      </w:r>
    </w:p>
    <w:p w14:paraId="25D9880A">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7.2.3 桁段数字化预拼装应当包含以下几个方面内容：</w:t>
      </w:r>
    </w:p>
    <w:p w14:paraId="426B1FA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应获取每个桁段构件的</w:t>
      </w:r>
      <w:r>
        <w:rPr>
          <w:rFonts w:hint="eastAsia" w:ascii="Arial" w:hAnsi="Arial"/>
        </w:rPr>
        <w:t>实际</w:t>
      </w:r>
      <w:r>
        <w:rPr>
          <w:rFonts w:hint="eastAsia" w:ascii="黑体" w:hAnsi="Times New Roman" w:eastAsia="宋体"/>
        </w:rPr>
        <w:t>制造尺寸数据和精确三维数字化模型，所有尺寸与模型应为按设计温度温差修正的数据；</w:t>
      </w:r>
    </w:p>
    <w:p w14:paraId="75D9075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应根据设计的特征点，从模型中自动提取关键的几何特征，确保特征点提取的准确性、完整性和规范性；</w:t>
      </w:r>
    </w:p>
    <w:p w14:paraId="262B17D3">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在模型配准时，四个端部应同时进行，采用最小二乘法确定最佳拼装姿态；</w:t>
      </w:r>
    </w:p>
    <w:p w14:paraId="5F9CCED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宜按设计要求，结合配准算法，在三维虚拟环境中开展数字化预拼装，生成理论拼装后的整体三维模型；</w:t>
      </w:r>
    </w:p>
    <w:p w14:paraId="6AD9F759">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宜采用三维可视化</w:t>
      </w:r>
      <w:r>
        <w:rPr>
          <w:rFonts w:hint="eastAsia" w:ascii="Arial" w:hAnsi="Arial"/>
        </w:rPr>
        <w:t>引擎</w:t>
      </w:r>
      <w:r>
        <w:rPr>
          <w:rFonts w:hint="eastAsia" w:ascii="黑体" w:hAnsi="Times New Roman" w:eastAsia="宋体"/>
        </w:rPr>
        <w:t>或增强虚拟现实技术，直观、动态地展示整个拼装过程。</w:t>
      </w:r>
    </w:p>
    <w:p w14:paraId="6DE783C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7.2.4 数字化预拼装与设计值的偏差应当在3mm（φ33mm及以上螺栓孔）或2mm（φ29mm及以下螺栓孔）以内，如果大于偏差数值，则应当按照偏差位置进行桁段位姿调整。其中数据处理的各个过程中应该控制的误差阈值见表4。</w:t>
      </w:r>
    </w:p>
    <w:p w14:paraId="542A2329">
      <w:pPr>
        <w:pStyle w:val="12"/>
        <w:spacing w:before="120" w:after="120"/>
        <w:rPr>
          <w:rFonts w:hint="eastAsia"/>
        </w:rPr>
      </w:pPr>
      <w:r>
        <w:rPr>
          <w:rFonts w:hint="eastAsia"/>
        </w:rPr>
        <w:t xml:space="preserve">表 </w:t>
      </w:r>
      <w:r>
        <w:t xml:space="preserve">4 </w:t>
      </w:r>
      <w:r>
        <w:rPr>
          <w:rFonts w:hint="eastAsia"/>
        </w:rPr>
        <w:t xml:space="preserve"> 桁段数字化预拼装误差阈值</w:t>
      </w:r>
      <w:r>
        <w:rPr>
          <w:rFonts w:hint="eastAsia" w:ascii="Times New Roman" w:hAnsi="Times New Roman" w:eastAsia="宋体" w:cs="Times New Roman"/>
          <w:sz w:val="18"/>
          <w:szCs w:val="16"/>
        </w:rPr>
        <w:t>（单位：毫米）</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24"/>
        <w:gridCol w:w="3516"/>
      </w:tblGrid>
      <w:tr w14:paraId="0F97C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tcBorders>
              <w:bottom w:val="single" w:color="auto" w:sz="12" w:space="0"/>
            </w:tcBorders>
            <w:vAlign w:val="center"/>
          </w:tcPr>
          <w:p w14:paraId="2276EBFF">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桁段数字化预拼装过程</w:t>
            </w:r>
          </w:p>
        </w:tc>
        <w:tc>
          <w:tcPr>
            <w:tcW w:w="3516" w:type="dxa"/>
            <w:tcBorders>
              <w:bottom w:val="single" w:color="auto" w:sz="12" w:space="0"/>
            </w:tcBorders>
            <w:vAlign w:val="center"/>
          </w:tcPr>
          <w:p w14:paraId="6157885F">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误差阈值</w:t>
            </w:r>
          </w:p>
        </w:tc>
      </w:tr>
      <w:tr w14:paraId="04B22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tcBorders>
              <w:top w:val="single" w:color="auto" w:sz="12" w:space="0"/>
            </w:tcBorders>
            <w:vAlign w:val="center"/>
          </w:tcPr>
          <w:p w14:paraId="399199FE">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桁段点云预处理</w:t>
            </w:r>
          </w:p>
        </w:tc>
        <w:tc>
          <w:tcPr>
            <w:tcW w:w="3516" w:type="dxa"/>
            <w:tcBorders>
              <w:top w:val="single" w:color="auto" w:sz="12" w:space="0"/>
            </w:tcBorders>
            <w:vAlign w:val="center"/>
          </w:tcPr>
          <w:p w14:paraId="1CDB0D3A">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p>
        </w:tc>
      </w:tr>
      <w:tr w14:paraId="32273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5A1CDE92">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桁段三维模型提取特征信息</w:t>
            </w:r>
          </w:p>
        </w:tc>
        <w:tc>
          <w:tcPr>
            <w:tcW w:w="3516" w:type="dxa"/>
            <w:vAlign w:val="center"/>
          </w:tcPr>
          <w:p w14:paraId="793B5784">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.3</w:t>
            </w:r>
          </w:p>
        </w:tc>
      </w:tr>
      <w:tr w14:paraId="5A3B0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41347D17">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桁段间模型粗配准</w:t>
            </w:r>
          </w:p>
        </w:tc>
        <w:tc>
          <w:tcPr>
            <w:tcW w:w="3516" w:type="dxa"/>
            <w:vAlign w:val="center"/>
          </w:tcPr>
          <w:p w14:paraId="2EB4E499">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.25</w:t>
            </w:r>
          </w:p>
        </w:tc>
      </w:tr>
      <w:tr w14:paraId="1D98E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792A21E2">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桁段间精细化配准</w:t>
            </w:r>
          </w:p>
        </w:tc>
        <w:tc>
          <w:tcPr>
            <w:tcW w:w="3516" w:type="dxa"/>
            <w:vAlign w:val="center"/>
          </w:tcPr>
          <w:p w14:paraId="6AF725F3">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.15</w:t>
            </w:r>
          </w:p>
        </w:tc>
      </w:tr>
    </w:tbl>
    <w:p w14:paraId="453CF02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7.2.5</w:t>
      </w:r>
      <w:r>
        <w:rPr>
          <w:rFonts w:ascii="黑体" w:hAnsi="Times New Roman" w:eastAsia="宋体"/>
        </w:rPr>
        <w:t xml:space="preserve"> </w:t>
      </w:r>
      <w:r>
        <w:rPr>
          <w:rFonts w:hint="eastAsia" w:ascii="黑体" w:hAnsi="Times New Roman" w:eastAsia="宋体"/>
        </w:rPr>
        <w:t>拼装偏差可视化</w:t>
      </w:r>
      <w:r>
        <w:rPr>
          <w:rFonts w:hint="eastAsia" w:ascii="Arial" w:hAnsi="Arial"/>
        </w:rPr>
        <w:t>方面</w:t>
      </w:r>
      <w:r>
        <w:rPr>
          <w:rFonts w:hint="eastAsia" w:ascii="黑体" w:hAnsi="Times New Roman" w:eastAsia="宋体"/>
        </w:rPr>
        <w:t>应当符合下列规定：</w:t>
      </w:r>
    </w:p>
    <w:p w14:paraId="4B12948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w:t>
      </w:r>
      <w:r>
        <w:rPr>
          <w:rFonts w:ascii="黑体" w:hAnsi="Times New Roman" w:eastAsia="宋体"/>
        </w:rPr>
        <w:t>)</w:t>
      </w:r>
      <w:r>
        <w:rPr>
          <w:rFonts w:hint="eastAsia" w:ascii="黑体" w:hAnsi="Times New Roman" w:eastAsia="宋体"/>
        </w:rPr>
        <w:t xml:space="preserve"> 应清晰展示桁段三维</w:t>
      </w:r>
      <w:r>
        <w:rPr>
          <w:rFonts w:hint="eastAsia" w:ascii="Arial" w:hAnsi="Arial"/>
        </w:rPr>
        <w:t>模型</w:t>
      </w:r>
      <w:r>
        <w:rPr>
          <w:rFonts w:hint="eastAsia" w:ascii="黑体" w:hAnsi="Times New Roman" w:eastAsia="宋体"/>
        </w:rPr>
        <w:t>的拼装结构细节，包括各桁段的几何形态、具体连接方式等关键信息；</w:t>
      </w:r>
    </w:p>
    <w:p w14:paraId="5A3FFB12">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w:t>
      </w:r>
      <w:r>
        <w:rPr>
          <w:rFonts w:ascii="黑体" w:hAnsi="Times New Roman" w:eastAsia="宋体"/>
        </w:rPr>
        <w:t>)</w:t>
      </w:r>
      <w:r>
        <w:rPr>
          <w:rFonts w:hint="eastAsia" w:ascii="黑体" w:hAnsi="Times New Roman" w:eastAsia="宋体"/>
        </w:rPr>
        <w:t xml:space="preserve"> 应当提供交互式界面，允许操作人员进行放大、旋转等操作；</w:t>
      </w:r>
    </w:p>
    <w:p w14:paraId="5B35949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w:t>
      </w:r>
      <w:r>
        <w:rPr>
          <w:rFonts w:ascii="黑体" w:hAnsi="Times New Roman" w:eastAsia="宋体"/>
        </w:rPr>
        <w:t>)</w:t>
      </w:r>
      <w:r>
        <w:rPr>
          <w:rFonts w:hint="eastAsia" w:ascii="黑体" w:hAnsi="Times New Roman" w:eastAsia="宋体"/>
        </w:rPr>
        <w:t xml:space="preserve"> 宜使用颜色编码标识各部位的偏差程度；</w:t>
      </w:r>
    </w:p>
    <w:p w14:paraId="5211FB1C">
      <w:pPr>
        <w:numPr>
          <w:ilvl w:val="2"/>
          <w:numId w:val="0"/>
        </w:numPr>
        <w:tabs>
          <w:tab w:val="left" w:pos="0"/>
        </w:tabs>
        <w:spacing w:before="79" w:beforeLines="33" w:after="79" w:afterLines="33"/>
        <w:ind w:firstLine="210" w:firstLineChars="100"/>
        <w:jc w:val="left"/>
        <w:rPr>
          <w:rFonts w:ascii="黑体" w:hAnsi="Times New Roman" w:eastAsia="宋体"/>
        </w:rPr>
      </w:pPr>
      <w:r>
        <w:rPr>
          <w:rFonts w:ascii="黑体" w:hAnsi="Times New Roman" w:eastAsia="宋体"/>
        </w:rPr>
        <w:t>d)</w:t>
      </w:r>
      <w:r>
        <w:rPr>
          <w:rFonts w:hint="eastAsia" w:ascii="黑体" w:hAnsi="Times New Roman" w:eastAsia="宋体"/>
        </w:rPr>
        <w:t xml:space="preserve"> 宜包含自动生成偏差</w:t>
      </w:r>
      <w:r>
        <w:rPr>
          <w:rFonts w:hint="eastAsia" w:ascii="Arial" w:hAnsi="Arial"/>
        </w:rPr>
        <w:t>分析</w:t>
      </w:r>
      <w:r>
        <w:rPr>
          <w:rFonts w:hint="eastAsia" w:ascii="黑体" w:hAnsi="Times New Roman" w:eastAsia="宋体"/>
        </w:rPr>
        <w:t>的图表、偏差曲线、偏差分布图等；</w:t>
      </w:r>
    </w:p>
    <w:p w14:paraId="28DD39D7">
      <w:pPr>
        <w:numPr>
          <w:ilvl w:val="2"/>
          <w:numId w:val="0"/>
        </w:numPr>
        <w:tabs>
          <w:tab w:val="left" w:pos="0"/>
        </w:tabs>
        <w:spacing w:before="79" w:beforeLines="33" w:after="79" w:afterLines="33"/>
        <w:ind w:firstLine="210" w:firstLineChars="100"/>
        <w:jc w:val="left"/>
        <w:rPr>
          <w:rFonts w:ascii="黑体" w:hAnsi="Times New Roman" w:eastAsia="宋体"/>
        </w:rPr>
      </w:pPr>
      <w:r>
        <w:rPr>
          <w:rFonts w:ascii="黑体" w:hAnsi="Times New Roman" w:eastAsia="宋体"/>
        </w:rPr>
        <w:t>e)</w:t>
      </w:r>
      <w:r>
        <w:rPr>
          <w:rFonts w:hint="eastAsia" w:ascii="黑体" w:hAnsi="Times New Roman" w:eastAsia="宋体"/>
        </w:rPr>
        <w:t xml:space="preserve"> 应记录不同桁段间拼装过程产生的偏差数据，偏差记录形式可以参照表5，并形成历史数据记录。</w:t>
      </w:r>
    </w:p>
    <w:p w14:paraId="3E6F5021">
      <w:pPr>
        <w:pStyle w:val="12"/>
        <w:spacing w:before="120" w:after="120"/>
        <w:rPr>
          <w:rFonts w:hint="eastAsia"/>
        </w:rPr>
      </w:pPr>
      <w:r>
        <w:rPr>
          <w:rFonts w:hint="eastAsia"/>
        </w:rPr>
        <w:t>表 5</w:t>
      </w:r>
      <w:r>
        <w:t xml:space="preserve"> </w:t>
      </w:r>
      <w:r>
        <w:rPr>
          <w:rFonts w:hint="eastAsia"/>
        </w:rPr>
        <w:t xml:space="preserve"> 数字化拼装偏差记录表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45"/>
        <w:gridCol w:w="745"/>
        <w:gridCol w:w="745"/>
        <w:gridCol w:w="745"/>
        <w:gridCol w:w="745"/>
        <w:gridCol w:w="746"/>
        <w:gridCol w:w="761"/>
        <w:gridCol w:w="761"/>
        <w:gridCol w:w="761"/>
        <w:gridCol w:w="761"/>
      </w:tblGrid>
      <w:tr w14:paraId="512E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12" w:space="0"/>
              <w:left w:val="single" w:color="auto" w:sz="12" w:space="0"/>
              <w:bottom w:val="single" w:color="auto" w:sz="12" w:space="0"/>
              <w:right w:val="single" w:color="auto" w:sz="4" w:space="0"/>
            </w:tcBorders>
            <w:vAlign w:val="center"/>
          </w:tcPr>
          <w:p w14:paraId="36380DB1">
            <w:pPr>
              <w:widowControl/>
              <w:autoSpaceDE w:val="0"/>
              <w:autoSpaceDN w:val="0"/>
              <w:ind w:firstLine="180"/>
              <w:jc w:val="center"/>
              <w:rPr>
                <w:rFonts w:hint="eastAsia" w:cs="Times New Roman" w:asciiTheme="minorEastAsia" w:hAnsiTheme="minorEastAsia"/>
                <w:sz w:val="18"/>
                <w:szCs w:val="18"/>
              </w:rPr>
            </w:pPr>
            <w:r>
              <w:rPr>
                <w:rFonts w:hint="eastAsia" w:cs="Times New Roman" w:asciiTheme="minorEastAsia" w:hAnsiTheme="minorEastAsia"/>
                <w:sz w:val="18"/>
                <w:szCs w:val="18"/>
              </w:rPr>
              <w:t>序号</w:t>
            </w:r>
          </w:p>
        </w:tc>
        <w:tc>
          <w:tcPr>
            <w:tcW w:w="745" w:type="dxa"/>
            <w:tcBorders>
              <w:top w:val="single" w:color="auto" w:sz="12" w:space="0"/>
              <w:left w:val="single" w:color="auto" w:sz="4" w:space="0"/>
              <w:bottom w:val="single" w:color="auto" w:sz="12" w:space="0"/>
              <w:right w:val="single" w:color="auto" w:sz="4" w:space="0"/>
            </w:tcBorders>
            <w:vAlign w:val="center"/>
          </w:tcPr>
          <w:p w14:paraId="377B13E1">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X</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2B3A3B67">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Y</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7F2D0EEB">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Z</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3F0682FE">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X</w:t>
            </w:r>
            <w:r>
              <w:rPr>
                <w:rFonts w:cs="Times New Roman" w:asciiTheme="minorEastAsia" w:hAnsiTheme="minorEastAsia"/>
                <w:sz w:val="18"/>
                <w:szCs w:val="18"/>
                <w:vertAlign w:val="subscript"/>
              </w:rPr>
              <w:t>1</w:t>
            </w:r>
          </w:p>
        </w:tc>
        <w:tc>
          <w:tcPr>
            <w:tcW w:w="745" w:type="dxa"/>
            <w:tcBorders>
              <w:top w:val="single" w:color="auto" w:sz="12" w:space="0"/>
              <w:left w:val="single" w:color="auto" w:sz="4" w:space="0"/>
              <w:bottom w:val="single" w:color="auto" w:sz="12" w:space="0"/>
              <w:right w:val="single" w:color="auto" w:sz="4" w:space="0"/>
            </w:tcBorders>
            <w:vAlign w:val="center"/>
          </w:tcPr>
          <w:p w14:paraId="5EC432DC">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Y</w:t>
            </w:r>
            <w:r>
              <w:rPr>
                <w:rFonts w:cs="Times New Roman" w:asciiTheme="minorEastAsia" w:hAnsiTheme="minorEastAsia"/>
                <w:sz w:val="18"/>
                <w:szCs w:val="18"/>
                <w:vertAlign w:val="subscript"/>
              </w:rPr>
              <w:t>1</w:t>
            </w:r>
          </w:p>
        </w:tc>
        <w:tc>
          <w:tcPr>
            <w:tcW w:w="746" w:type="dxa"/>
            <w:tcBorders>
              <w:top w:val="single" w:color="auto" w:sz="12" w:space="0"/>
              <w:left w:val="single" w:color="auto" w:sz="4" w:space="0"/>
              <w:bottom w:val="single" w:color="auto" w:sz="12" w:space="0"/>
              <w:right w:val="single" w:color="auto" w:sz="4" w:space="0"/>
            </w:tcBorders>
            <w:vAlign w:val="center"/>
          </w:tcPr>
          <w:p w14:paraId="073EB987">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Z</w:t>
            </w:r>
            <w:r>
              <w:rPr>
                <w:rFonts w:cs="Times New Roman" w:asciiTheme="minorEastAsia" w:hAnsiTheme="minorEastAsia"/>
                <w:sz w:val="18"/>
                <w:szCs w:val="18"/>
                <w:vertAlign w:val="subscript"/>
              </w:rPr>
              <w:t>1</w:t>
            </w:r>
          </w:p>
        </w:tc>
        <w:tc>
          <w:tcPr>
            <w:tcW w:w="761" w:type="dxa"/>
            <w:tcBorders>
              <w:top w:val="single" w:color="auto" w:sz="12" w:space="0"/>
              <w:left w:val="single" w:color="auto" w:sz="4" w:space="0"/>
              <w:bottom w:val="single" w:color="auto" w:sz="12" w:space="0"/>
              <w:right w:val="single" w:color="auto" w:sz="4" w:space="0"/>
            </w:tcBorders>
            <w:vAlign w:val="center"/>
          </w:tcPr>
          <w:p w14:paraId="7DC5ED24">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dx</w:t>
            </w:r>
          </w:p>
        </w:tc>
        <w:tc>
          <w:tcPr>
            <w:tcW w:w="761" w:type="dxa"/>
            <w:tcBorders>
              <w:top w:val="single" w:color="auto" w:sz="12" w:space="0"/>
              <w:left w:val="single" w:color="auto" w:sz="4" w:space="0"/>
              <w:bottom w:val="single" w:color="auto" w:sz="12" w:space="0"/>
              <w:right w:val="single" w:color="auto" w:sz="4" w:space="0"/>
            </w:tcBorders>
            <w:vAlign w:val="center"/>
          </w:tcPr>
          <w:p w14:paraId="057595AA">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dy</w:t>
            </w:r>
          </w:p>
        </w:tc>
        <w:tc>
          <w:tcPr>
            <w:tcW w:w="761" w:type="dxa"/>
            <w:tcBorders>
              <w:top w:val="single" w:color="auto" w:sz="12" w:space="0"/>
              <w:left w:val="single" w:color="auto" w:sz="4" w:space="0"/>
              <w:bottom w:val="single" w:color="auto" w:sz="12" w:space="0"/>
              <w:right w:val="single" w:color="auto" w:sz="4" w:space="0"/>
            </w:tcBorders>
            <w:vAlign w:val="center"/>
          </w:tcPr>
          <w:p w14:paraId="4A74B7DC">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dz</w:t>
            </w:r>
          </w:p>
        </w:tc>
        <w:tc>
          <w:tcPr>
            <w:tcW w:w="761" w:type="dxa"/>
            <w:tcBorders>
              <w:top w:val="single" w:color="auto" w:sz="12" w:space="0"/>
              <w:left w:val="single" w:color="auto" w:sz="4" w:space="0"/>
              <w:bottom w:val="single" w:color="auto" w:sz="12" w:space="0"/>
              <w:right w:val="single" w:color="auto" w:sz="12" w:space="0"/>
            </w:tcBorders>
            <w:vAlign w:val="center"/>
          </w:tcPr>
          <w:p w14:paraId="73483D99">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ds</w:t>
            </w:r>
          </w:p>
        </w:tc>
      </w:tr>
      <w:tr w14:paraId="51C0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12" w:space="0"/>
              <w:left w:val="single" w:color="auto" w:sz="12" w:space="0"/>
              <w:bottom w:val="single" w:color="auto" w:sz="4" w:space="0"/>
              <w:right w:val="single" w:color="auto" w:sz="4" w:space="0"/>
            </w:tcBorders>
            <w:vAlign w:val="center"/>
          </w:tcPr>
          <w:p w14:paraId="79850BB6">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1EC0F035">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48579EBA">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1EB5CC9D">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20A29E75">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22A1C872">
            <w:pPr>
              <w:widowControl/>
              <w:autoSpaceDE w:val="0"/>
              <w:autoSpaceDN w:val="0"/>
              <w:ind w:firstLine="180"/>
              <w:jc w:val="center"/>
              <w:rPr>
                <w:rFonts w:hint="eastAsia" w:cs="Times New Roman" w:asciiTheme="minorEastAsia" w:hAnsiTheme="minorEastAsia"/>
                <w:sz w:val="18"/>
                <w:szCs w:val="18"/>
              </w:rPr>
            </w:pPr>
          </w:p>
        </w:tc>
        <w:tc>
          <w:tcPr>
            <w:tcW w:w="746" w:type="dxa"/>
            <w:tcBorders>
              <w:top w:val="single" w:color="auto" w:sz="12" w:space="0"/>
              <w:left w:val="single" w:color="auto" w:sz="4" w:space="0"/>
              <w:bottom w:val="single" w:color="auto" w:sz="4" w:space="0"/>
              <w:right w:val="single" w:color="auto" w:sz="4" w:space="0"/>
            </w:tcBorders>
            <w:vAlign w:val="center"/>
          </w:tcPr>
          <w:p w14:paraId="4E15D9CA">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6F994F8B">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5F3A57A5">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551FC783">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12" w:space="0"/>
            </w:tcBorders>
            <w:vAlign w:val="center"/>
          </w:tcPr>
          <w:p w14:paraId="2FB7744A">
            <w:pPr>
              <w:widowControl/>
              <w:autoSpaceDE w:val="0"/>
              <w:autoSpaceDN w:val="0"/>
              <w:ind w:firstLine="180"/>
              <w:jc w:val="center"/>
              <w:rPr>
                <w:rFonts w:hint="eastAsia" w:cs="Times New Roman" w:asciiTheme="minorEastAsia" w:hAnsiTheme="minorEastAsia"/>
                <w:sz w:val="18"/>
                <w:szCs w:val="18"/>
              </w:rPr>
            </w:pPr>
          </w:p>
        </w:tc>
      </w:tr>
      <w:tr w14:paraId="487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12" w:space="0"/>
              <w:bottom w:val="single" w:color="auto" w:sz="4" w:space="0"/>
              <w:right w:val="single" w:color="auto" w:sz="4" w:space="0"/>
            </w:tcBorders>
            <w:vAlign w:val="center"/>
          </w:tcPr>
          <w:p w14:paraId="3F8824F9">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2FE90990">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6A4E091F">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552AF711">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6935ACDA">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24E5839D">
            <w:pPr>
              <w:widowControl/>
              <w:autoSpaceDE w:val="0"/>
              <w:autoSpaceDN w:val="0"/>
              <w:ind w:firstLine="180"/>
              <w:jc w:val="center"/>
              <w:rPr>
                <w:rFonts w:hint="eastAsia" w:cs="Times New Roman" w:asciiTheme="minorEastAsia" w:hAnsiTheme="minorEastAsia"/>
                <w:sz w:val="18"/>
                <w:szCs w:val="18"/>
              </w:rPr>
            </w:pPr>
          </w:p>
        </w:tc>
        <w:tc>
          <w:tcPr>
            <w:tcW w:w="746" w:type="dxa"/>
            <w:tcBorders>
              <w:top w:val="single" w:color="auto" w:sz="4" w:space="0"/>
              <w:left w:val="single" w:color="auto" w:sz="4" w:space="0"/>
              <w:bottom w:val="single" w:color="auto" w:sz="4" w:space="0"/>
              <w:right w:val="single" w:color="auto" w:sz="4" w:space="0"/>
            </w:tcBorders>
            <w:vAlign w:val="center"/>
          </w:tcPr>
          <w:p w14:paraId="56F3E882">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5A8D8AA3">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21BE5367">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286D06AE">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12" w:space="0"/>
            </w:tcBorders>
            <w:vAlign w:val="center"/>
          </w:tcPr>
          <w:p w14:paraId="1A0F724A">
            <w:pPr>
              <w:widowControl/>
              <w:autoSpaceDE w:val="0"/>
              <w:autoSpaceDN w:val="0"/>
              <w:ind w:firstLine="180"/>
              <w:jc w:val="center"/>
              <w:rPr>
                <w:rFonts w:hint="eastAsia" w:cs="Times New Roman" w:asciiTheme="minorEastAsia" w:hAnsiTheme="minorEastAsia"/>
                <w:sz w:val="18"/>
                <w:szCs w:val="18"/>
              </w:rPr>
            </w:pPr>
          </w:p>
        </w:tc>
      </w:tr>
      <w:tr w14:paraId="7A6E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11"/>
            <w:tcBorders>
              <w:top w:val="single" w:color="auto" w:sz="4" w:space="0"/>
              <w:left w:val="single" w:color="auto" w:sz="12" w:space="0"/>
              <w:bottom w:val="single" w:color="auto" w:sz="12" w:space="0"/>
              <w:right w:val="single" w:color="auto" w:sz="12" w:space="0"/>
            </w:tcBorders>
            <w:vAlign w:val="center"/>
          </w:tcPr>
          <w:p w14:paraId="3B00D77E">
            <w:pPr>
              <w:numPr>
                <w:ilvl w:val="2"/>
                <w:numId w:val="0"/>
              </w:numPr>
              <w:tabs>
                <w:tab w:val="left" w:pos="0"/>
              </w:tabs>
              <w:spacing w:before="79" w:beforeLines="33" w:after="79" w:afterLines="33"/>
              <w:jc w:val="left"/>
              <w:rPr>
                <w:rFonts w:ascii="黑体" w:hAnsi="Times New Roman" w:cs="Times New Roman"/>
              </w:rPr>
            </w:pPr>
            <w:r>
              <w:rPr>
                <w:rFonts w:hint="eastAsia" w:ascii="黑体" w:hAnsi="Times New Roman" w:cs="Times New Roman"/>
                <w:sz w:val="18"/>
                <w:szCs w:val="20"/>
              </w:rPr>
              <w:t>注：</w:t>
            </w:r>
            <w:r>
              <w:rPr>
                <w:rFonts w:hint="eastAsia" w:ascii="黑体" w:hAnsi="Times New Roman" w:cs="Times New Roman"/>
                <w:sz w:val="18"/>
                <w:szCs w:val="18"/>
              </w:rPr>
              <w:t>表中</w:t>
            </w:r>
            <w:r>
              <w:rPr>
                <w:rFonts w:cs="Times New Roman" w:asciiTheme="minorEastAsia" w:hAnsiTheme="minorEastAsia"/>
                <w:sz w:val="18"/>
                <w:szCs w:val="18"/>
              </w:rPr>
              <w:t>X</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表示前一节段拼装后的横桥向坐标，Y</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表示前一节段拼装后的纵桥向坐标，Z</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表示前一节段拼装后的竖向坐标，</w:t>
            </w:r>
            <w:r>
              <w:rPr>
                <w:rFonts w:cs="Times New Roman" w:asciiTheme="minorEastAsia" w:hAnsiTheme="minorEastAsia"/>
                <w:sz w:val="18"/>
                <w:szCs w:val="18"/>
              </w:rPr>
              <w:t>X</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表示后一节段拼装后的横桥向坐标，Y</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表示后一节段拼装后的纵桥向坐标，Z</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表示后一节段拼装后的竖向坐标，</w:t>
            </w:r>
            <w:r>
              <w:rPr>
                <w:rFonts w:cs="Times New Roman" w:asciiTheme="minorEastAsia" w:hAnsiTheme="minorEastAsia"/>
                <w:sz w:val="18"/>
                <w:szCs w:val="18"/>
              </w:rPr>
              <w:t>dx</w:t>
            </w:r>
            <w:r>
              <w:rPr>
                <w:rFonts w:hint="eastAsia" w:cs="Times New Roman" w:asciiTheme="minorEastAsia" w:hAnsiTheme="minorEastAsia"/>
                <w:sz w:val="18"/>
                <w:szCs w:val="18"/>
              </w:rPr>
              <w:t>表示横桥向的拼装偏差，</w:t>
            </w:r>
            <w:r>
              <w:rPr>
                <w:rFonts w:cs="Times New Roman" w:asciiTheme="minorEastAsia" w:hAnsiTheme="minorEastAsia"/>
                <w:sz w:val="18"/>
                <w:szCs w:val="18"/>
              </w:rPr>
              <w:t>d</w:t>
            </w:r>
            <w:r>
              <w:rPr>
                <w:rFonts w:hint="eastAsia" w:cs="Times New Roman" w:asciiTheme="minorEastAsia" w:hAnsiTheme="minorEastAsia"/>
                <w:sz w:val="18"/>
                <w:szCs w:val="18"/>
              </w:rPr>
              <w:t>y表示纵桥向的拼装偏差，</w:t>
            </w:r>
            <w:r>
              <w:rPr>
                <w:rFonts w:cs="Times New Roman" w:asciiTheme="minorEastAsia" w:hAnsiTheme="minorEastAsia"/>
                <w:sz w:val="18"/>
                <w:szCs w:val="18"/>
              </w:rPr>
              <w:t>d</w:t>
            </w:r>
            <w:r>
              <w:rPr>
                <w:rFonts w:hint="eastAsia" w:cs="Times New Roman" w:asciiTheme="minorEastAsia" w:hAnsiTheme="minorEastAsia"/>
                <w:sz w:val="18"/>
                <w:szCs w:val="18"/>
              </w:rPr>
              <w:t>z表示竖向的拼装偏差，</w:t>
            </w:r>
            <w:r>
              <w:rPr>
                <w:rFonts w:cs="Times New Roman" w:asciiTheme="minorEastAsia" w:hAnsiTheme="minorEastAsia"/>
                <w:sz w:val="18"/>
                <w:szCs w:val="18"/>
              </w:rPr>
              <w:t>d</w:t>
            </w:r>
            <w:r>
              <w:rPr>
                <w:rFonts w:hint="eastAsia" w:cs="Times New Roman" w:asciiTheme="minorEastAsia" w:hAnsiTheme="minorEastAsia"/>
                <w:sz w:val="18"/>
                <w:szCs w:val="18"/>
              </w:rPr>
              <w:t>s表示总偏差。</w:t>
            </w:r>
          </w:p>
        </w:tc>
      </w:tr>
    </w:tbl>
    <w:p w14:paraId="49D4A9F2">
      <w:pPr>
        <w:pStyle w:val="81"/>
        <w:numPr>
          <w:ilvl w:val="1"/>
          <w:numId w:val="0"/>
        </w:numPr>
        <w:spacing w:before="120" w:after="120"/>
        <w:rPr>
          <w:rFonts w:hint="eastAsia"/>
        </w:rPr>
      </w:pPr>
      <w:bookmarkStart w:id="87" w:name="_Toc208327426"/>
      <w:r>
        <w:rPr>
          <w:rFonts w:hint="eastAsia" w:ascii="黑体" w:hAnsi="Times New Roman" w:cs="Times New Roman"/>
        </w:rPr>
        <w:t>7</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84"/>
      <w:bookmarkEnd w:id="85"/>
      <w:bookmarkEnd w:id="86"/>
      <w:r>
        <w:rPr>
          <w:rFonts w:hint="eastAsia"/>
        </w:rPr>
        <w:t>误差预测</w:t>
      </w:r>
      <w:bookmarkEnd w:id="87"/>
    </w:p>
    <w:p w14:paraId="2C1CE4A3">
      <w:pPr>
        <w:numPr>
          <w:ilvl w:val="2"/>
          <w:numId w:val="0"/>
        </w:numPr>
        <w:tabs>
          <w:tab w:val="left" w:pos="0"/>
        </w:tabs>
        <w:spacing w:before="79" w:beforeLines="33" w:after="79" w:afterLines="33"/>
        <w:jc w:val="left"/>
        <w:rPr>
          <w:rFonts w:ascii="黑体" w:hAnsi="Times New Roman" w:eastAsia="宋体"/>
        </w:rPr>
      </w:pPr>
      <w:bookmarkStart w:id="88" w:name="_Toc149672682"/>
      <w:bookmarkStart w:id="89" w:name="_Toc19172"/>
      <w:bookmarkStart w:id="90" w:name="_Toc149672455"/>
      <w:r>
        <w:rPr>
          <w:rFonts w:hint="eastAsia" w:ascii="黑体" w:hAnsi="Times New Roman" w:eastAsia="宋体"/>
        </w:rPr>
        <w:t>7.3.1</w:t>
      </w:r>
      <w:r>
        <w:rPr>
          <w:rFonts w:ascii="黑体" w:hAnsi="Times New Roman" w:eastAsia="宋体"/>
        </w:rPr>
        <w:t>　</w:t>
      </w:r>
      <w:r>
        <w:rPr>
          <w:rFonts w:hint="eastAsia" w:ascii="黑体" w:hAnsi="Times New Roman" w:eastAsia="宋体"/>
        </w:rPr>
        <w:t>根据误差性质对误差进行分类，对重复出现的系统误差，应进行修正，对随机的偶然误差，应进行统计分析消除。</w:t>
      </w:r>
    </w:p>
    <w:p w14:paraId="5165F736">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7.3.2</w:t>
      </w:r>
      <w:r>
        <w:rPr>
          <w:rFonts w:ascii="黑体" w:hAnsi="Times New Roman" w:eastAsia="宋体"/>
        </w:rPr>
        <w:t>　</w:t>
      </w:r>
      <w:r>
        <w:rPr>
          <w:rFonts w:hint="eastAsia" w:ascii="黑体" w:hAnsi="Times New Roman" w:eastAsia="宋体"/>
        </w:rPr>
        <w:t>误差估计宜包含以下几个方面内容：桁段理论模型与实测数据配准、节点位置偏差计算、误差估计、桁段变形预测、误差传递影响分析等。</w:t>
      </w:r>
    </w:p>
    <w:p w14:paraId="2C91997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7.3.3</w:t>
      </w:r>
      <w:r>
        <w:rPr>
          <w:rFonts w:ascii="黑体" w:hAnsi="Times New Roman" w:eastAsia="宋体"/>
        </w:rPr>
        <w:t>　</w:t>
      </w:r>
      <w:r>
        <w:rPr>
          <w:rFonts w:hint="eastAsia" w:ascii="黑体" w:hAnsi="Times New Roman" w:eastAsia="宋体"/>
        </w:rPr>
        <w:t>应通过特征匹配、最优化算法等方式将桁段的设计三维模型与实测三维模型进行精确配准，配准过程宜按照下列流程进行：</w:t>
      </w:r>
    </w:p>
    <w:p w14:paraId="2E6C371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应对桁段设计三维模型和三维数据进行格式转换、去噪、平滑等预处理；</w:t>
      </w:r>
    </w:p>
    <w:p w14:paraId="3757ABC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应从设计模型和实测数据中分别提取公共特征点作为配准控制点；</w:t>
      </w:r>
    </w:p>
    <w:p w14:paraId="7ACC534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宜根据配准对象的</w:t>
      </w:r>
      <w:r>
        <w:rPr>
          <w:rFonts w:hint="eastAsia" w:ascii="Arial" w:hAnsi="Arial"/>
        </w:rPr>
        <w:t>特点</w:t>
      </w:r>
      <w:r>
        <w:rPr>
          <w:rFonts w:hint="eastAsia" w:ascii="黑体" w:hAnsi="Times New Roman" w:eastAsia="宋体"/>
        </w:rPr>
        <w:t>，首先进行粗配准，随后再进行精细化配准；</w:t>
      </w:r>
    </w:p>
    <w:p w14:paraId="5F7429C5">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宜使用空间距离来</w:t>
      </w:r>
      <w:r>
        <w:rPr>
          <w:rFonts w:hint="eastAsia" w:ascii="Arial" w:hAnsi="Arial"/>
        </w:rPr>
        <w:t>约束</w:t>
      </w:r>
      <w:r>
        <w:rPr>
          <w:rFonts w:hint="eastAsia" w:ascii="黑体" w:hAnsi="Times New Roman" w:eastAsia="宋体"/>
        </w:rPr>
        <w:t>配准过程。</w:t>
      </w:r>
    </w:p>
    <w:p w14:paraId="7E594FAD">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7.3.4</w:t>
      </w:r>
      <w:r>
        <w:rPr>
          <w:rFonts w:ascii="黑体" w:hAnsi="Times New Roman" w:eastAsia="宋体"/>
        </w:rPr>
        <w:t>　</w:t>
      </w:r>
      <w:r>
        <w:rPr>
          <w:rFonts w:hint="eastAsia" w:ascii="黑体" w:hAnsi="Times New Roman" w:eastAsia="宋体"/>
        </w:rPr>
        <w:t>配准后的模型中，应当检测各个预定的杆件节点相对于理论位置存在的位移偏差量化偏差的大小。具体应包含以下方面内容：</w:t>
      </w:r>
    </w:p>
    <w:p w14:paraId="597AAF27">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应在设计三维模型与实测数据精确配准的基础上，根据设计要求获取每个预定装配节点在理论空间位置与姿态；</w:t>
      </w:r>
    </w:p>
    <w:p w14:paraId="78C49977">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应从桁段实测三维数据中，利用特征识别、模式匹配等方法自动提取对应节点的实际空间位置与姿态；</w:t>
      </w:r>
    </w:p>
    <w:p w14:paraId="6511A09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宜将监控指令给定阶段线形的模型和实测数据的坐标系统进行统一转换，确保节点位置计算在同一基准坐标系下进行；</w:t>
      </w:r>
    </w:p>
    <w:p w14:paraId="7882D5C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宜分别计算每个节点在平移和旋转两个自由度方向上的位置偏差，应包括偏差大小和偏差方向两个分量。</w:t>
      </w:r>
    </w:p>
    <w:p w14:paraId="2967F4DC">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7.3.5</w:t>
      </w:r>
      <w:r>
        <w:rPr>
          <w:rFonts w:ascii="黑体" w:hAnsi="Times New Roman" w:eastAsia="宋体"/>
        </w:rPr>
        <w:t>　</w:t>
      </w:r>
      <w:r>
        <w:rPr>
          <w:rFonts w:hint="eastAsia" w:ascii="黑体" w:hAnsi="Times New Roman" w:eastAsia="宋体"/>
        </w:rPr>
        <w:t>模型配准与节点偏差计算后，要求估计由于节点位置偏差而导致的误差，并计算出误差的大小，判断是否在允许公差范围内。具体应当包含以下方面内容：</w:t>
      </w:r>
    </w:p>
    <w:p w14:paraId="016748F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宜加强制造过程中的检测和质量控制，应对弦杆端部孔群等关键部件实施有效的质量追溯；</w:t>
      </w:r>
    </w:p>
    <w:p w14:paraId="37838CC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应按照统一的顺序</w:t>
      </w:r>
      <w:r>
        <w:rPr>
          <w:rFonts w:hint="eastAsia" w:ascii="Arial" w:hAnsi="Arial"/>
        </w:rPr>
        <w:t>进行</w:t>
      </w:r>
      <w:r>
        <w:rPr>
          <w:rFonts w:hint="eastAsia" w:ascii="黑体" w:hAnsi="Times New Roman" w:eastAsia="宋体"/>
        </w:rPr>
        <w:t>拼装和工艺方案调整；</w:t>
      </w:r>
    </w:p>
    <w:p w14:paraId="3EE53ECC">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应当设计合理的运输支架和支垫，避免变形，宜对运输过程中对位移和应变进行监测，在测量过程中应避免对桁段的剧烈碰撞和其他损坏；</w:t>
      </w:r>
    </w:p>
    <w:p w14:paraId="64B492D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在使用经检定的精密</w:t>
      </w:r>
      <w:r>
        <w:rPr>
          <w:rFonts w:hint="eastAsia" w:ascii="Arial" w:hAnsi="Arial"/>
        </w:rPr>
        <w:t>测量设备</w:t>
      </w:r>
      <w:r>
        <w:rPr>
          <w:rFonts w:hint="eastAsia" w:ascii="黑体" w:hAnsi="Times New Roman" w:eastAsia="宋体"/>
        </w:rPr>
        <w:t>和仪器，宜在测量前消除温度、应力等扰动影响；</w:t>
      </w:r>
    </w:p>
    <w:p w14:paraId="3C9DB5F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测量过程中宜实时监测环境温度和桁段温度场，合理安排测量计划，避开温差较大时段；</w:t>
      </w:r>
    </w:p>
    <w:p w14:paraId="511300B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宜建立精细化有限元模型，模拟误差来源，同时分析各因素对误差的影响程度。优化设计和施工方案，减小误差影响，基于模拟数据对现场监测数据进行修正；</w:t>
      </w:r>
    </w:p>
    <w:p w14:paraId="1AAE6B8A">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7.3.6</w:t>
      </w:r>
      <w:r>
        <w:rPr>
          <w:rFonts w:ascii="黑体" w:hAnsi="Times New Roman" w:eastAsia="宋体"/>
        </w:rPr>
        <w:t>　</w:t>
      </w:r>
      <w:r>
        <w:rPr>
          <w:rFonts w:hint="eastAsia" w:ascii="黑体" w:hAnsi="Times New Roman" w:eastAsia="宋体"/>
        </w:rPr>
        <w:t>应将桁段的误差数据导入虚拟拼装环境，根据实测数据与模型的偏差、节点误差，以及桁段温度、施工工况修正来预测该桁段整体的变形情况，具体应当包含以下方面内容：</w:t>
      </w:r>
    </w:p>
    <w:p w14:paraId="70A67832">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宜建立精细的</w:t>
      </w:r>
      <w:r>
        <w:rPr>
          <w:rFonts w:hint="eastAsia" w:ascii="Arial" w:hAnsi="Arial"/>
        </w:rPr>
        <w:t>有限元分析</w:t>
      </w:r>
      <w:r>
        <w:rPr>
          <w:rFonts w:hint="eastAsia" w:ascii="黑体" w:hAnsi="Times New Roman" w:eastAsia="宋体"/>
        </w:rPr>
        <w:t>模型，准确模拟桁段结构特征，考虑主材和节点区域的实际构造细节，准确模拟约束和边界条件；</w:t>
      </w:r>
    </w:p>
    <w:p w14:paraId="3ED761AF">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应根据钢结构变形的</w:t>
      </w:r>
      <w:r>
        <w:rPr>
          <w:rFonts w:hint="eastAsia" w:ascii="Arial" w:hAnsi="Arial"/>
        </w:rPr>
        <w:t>温度</w:t>
      </w:r>
      <w:r>
        <w:rPr>
          <w:rFonts w:hint="eastAsia" w:ascii="黑体" w:hAnsi="Times New Roman" w:eastAsia="宋体"/>
        </w:rPr>
        <w:t>荷载进行钢结构变形的细致模拟，模拟各种荷载工况引起结构变形；</w:t>
      </w:r>
    </w:p>
    <w:p w14:paraId="06DD6439">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应当模拟各荷载工况下的应力、应变和位移场，计算荷载组合情况下的累积变形效应，分析各荷载对整体和局部</w:t>
      </w:r>
      <w:r>
        <w:rPr>
          <w:rFonts w:hint="eastAsia" w:ascii="Arial" w:hAnsi="Arial"/>
        </w:rPr>
        <w:t>变形</w:t>
      </w:r>
      <w:r>
        <w:rPr>
          <w:rFonts w:hint="eastAsia" w:ascii="黑体" w:hAnsi="Times New Roman" w:eastAsia="宋体"/>
        </w:rPr>
        <w:t>的贡献；</w:t>
      </w:r>
    </w:p>
    <w:p w14:paraId="75D68C4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宜考虑拼装顺序和</w:t>
      </w:r>
      <w:r>
        <w:rPr>
          <w:rFonts w:hint="eastAsia" w:ascii="Arial" w:hAnsi="Arial"/>
        </w:rPr>
        <w:t>支撑</w:t>
      </w:r>
      <w:r>
        <w:rPr>
          <w:rFonts w:hint="eastAsia" w:ascii="黑体" w:hAnsi="Times New Roman" w:eastAsia="宋体"/>
        </w:rPr>
        <w:t>条件对变形的影响，模拟变形在各施工阶段的累积和传递规律，预测主要控制节点的最终变形量；</w:t>
      </w:r>
    </w:p>
    <w:p w14:paraId="0F87704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应针对预测的变形量，模拟主动控制措施的效果；</w:t>
      </w:r>
    </w:p>
    <w:p w14:paraId="7D40C9C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宜针对荷载、材料、</w:t>
      </w:r>
      <w:r>
        <w:rPr>
          <w:rFonts w:hint="eastAsia" w:ascii="Arial" w:hAnsi="Arial"/>
        </w:rPr>
        <w:t>几何</w:t>
      </w:r>
      <w:r>
        <w:rPr>
          <w:rFonts w:hint="eastAsia" w:ascii="黑体" w:hAnsi="Times New Roman" w:eastAsia="宋体"/>
        </w:rPr>
        <w:t>参数的随机性，采用随机模拟、可靠性分析等方法，评估变形预测的不确定性水平。</w:t>
      </w:r>
    </w:p>
    <w:p w14:paraId="25146E19">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7.3.7</w:t>
      </w:r>
      <w:r>
        <w:rPr>
          <w:rFonts w:ascii="黑体" w:hAnsi="Times New Roman" w:eastAsia="宋体"/>
        </w:rPr>
        <w:t>　</w:t>
      </w:r>
      <w:r>
        <w:rPr>
          <w:rFonts w:hint="eastAsia" w:ascii="黑体" w:hAnsi="Times New Roman" w:eastAsia="宋体"/>
        </w:rPr>
        <w:t>桁段的误差与变形误差传递影响分析应当包含以下几个方面：</w:t>
      </w:r>
    </w:p>
    <w:p w14:paraId="62675F2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应分析所有可能产生</w:t>
      </w:r>
      <w:r>
        <w:rPr>
          <w:rFonts w:hint="eastAsia" w:ascii="Arial" w:hAnsi="Arial"/>
        </w:rPr>
        <w:t>装配</w:t>
      </w:r>
      <w:r>
        <w:rPr>
          <w:rFonts w:hint="eastAsia" w:ascii="黑体" w:hAnsi="Times New Roman" w:eastAsia="宋体"/>
        </w:rPr>
        <w:t>误差的源头，建立误差源清单；</w:t>
      </w:r>
    </w:p>
    <w:p w14:paraId="0FFC962B">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应对误差进行量化，计算其在各自自由度方向上的具体偏差值，作为后续误差传播分析的依据；</w:t>
      </w:r>
    </w:p>
    <w:p w14:paraId="48A59C9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应分析整体装配</w:t>
      </w:r>
      <w:r>
        <w:rPr>
          <w:rFonts w:hint="eastAsia" w:ascii="Arial" w:hAnsi="Arial"/>
        </w:rPr>
        <w:t>误差</w:t>
      </w:r>
      <w:r>
        <w:rPr>
          <w:rFonts w:hint="eastAsia" w:ascii="黑体" w:hAnsi="Times New Roman" w:eastAsia="宋体"/>
        </w:rPr>
        <w:t>在桁段各个部位和方向的分布规律，找出误差集中区域。</w:t>
      </w:r>
      <w:bookmarkEnd w:id="88"/>
      <w:bookmarkEnd w:id="89"/>
      <w:bookmarkEnd w:id="90"/>
      <w:bookmarkStart w:id="91" w:name="_Toc22941"/>
      <w:bookmarkStart w:id="92" w:name="_Toc149672459"/>
    </w:p>
    <w:p w14:paraId="3D1C63F7">
      <w:pPr>
        <w:pStyle w:val="81"/>
        <w:numPr>
          <w:ilvl w:val="1"/>
          <w:numId w:val="0"/>
        </w:numPr>
        <w:spacing w:before="120" w:after="120"/>
        <w:rPr>
          <w:rFonts w:ascii="黑体" w:hAnsi="Times New Roman" w:eastAsia="宋体" w:cstheme="minorBidi"/>
          <w:color w:val="auto"/>
          <w:szCs w:val="22"/>
        </w:rPr>
      </w:pPr>
      <w:bookmarkStart w:id="93" w:name="_Toc208327427"/>
      <w:r>
        <w:rPr>
          <w:rFonts w:hint="eastAsia" w:ascii="黑体" w:hAnsi="Times New Roman" w:eastAsia="宋体" w:cstheme="minorBidi"/>
          <w:color w:val="auto"/>
          <w:szCs w:val="22"/>
        </w:rPr>
        <w:t>7.4</w:t>
      </w:r>
      <w:r>
        <w:rPr>
          <w:rFonts w:ascii="黑体" w:hAnsi="Times New Roman" w:cs="Times New Roman"/>
        </w:rPr>
        <w:t>　</w:t>
      </w:r>
      <w:r>
        <w:rPr>
          <w:rFonts w:hint="eastAsia" w:ascii="黑体" w:hAnsi="Times New Roman" w:eastAsia="宋体" w:cstheme="minorBidi"/>
          <w:color w:val="auto"/>
          <w:szCs w:val="22"/>
        </w:rPr>
        <w:t>误差数据存档</w:t>
      </w:r>
      <w:bookmarkEnd w:id="93"/>
    </w:p>
    <w:p w14:paraId="1B7DF9C6">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7.4.1</w:t>
      </w:r>
      <w:r>
        <w:rPr>
          <w:rFonts w:ascii="黑体" w:hAnsi="Times New Roman" w:eastAsia="宋体"/>
        </w:rPr>
        <w:t>　</w:t>
      </w:r>
      <w:r>
        <w:rPr>
          <w:rFonts w:hint="eastAsia" w:ascii="黑体" w:hAnsi="Times New Roman" w:eastAsia="宋体"/>
        </w:rPr>
        <w:t>误差数据存档应当符合下列规定：</w:t>
      </w:r>
    </w:p>
    <w:p w14:paraId="034CA23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宜对数据来源和</w:t>
      </w:r>
      <w:r>
        <w:rPr>
          <w:rFonts w:hint="eastAsia" w:ascii="Arial" w:hAnsi="Arial"/>
        </w:rPr>
        <w:t>背景</w:t>
      </w:r>
      <w:r>
        <w:rPr>
          <w:rFonts w:hint="eastAsia" w:ascii="黑体" w:hAnsi="Times New Roman" w:eastAsia="宋体"/>
        </w:rPr>
        <w:t>信息进行存档，包含误差数据产生的环节、误差数据对应的三维模型与设计图纸等参考文件、三维测量设备及其校准记录，三维测量的环境条件（温度、湿度等）；</w:t>
      </w:r>
    </w:p>
    <w:p w14:paraId="08E03E2B">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b) 应记录误差数据的测量记录。测量记录包含但不局限于以下几点：开展三维数字测量的时间与地点、测量目标的详细位置和编号、测量所用仪器设备型号、原始误差数据值及其单位；</w:t>
      </w:r>
    </w:p>
    <w:p w14:paraId="0D22F051">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c) 应对误差计算与分析的最终结果进行存档，存档内容应包含误差计算的依据或公式、误差分布统计（如最大/最小值、均值、方差等）、误差来源分析（如制造、拼装、检测等）、与设计允许偏差的对比分析；</w:t>
      </w:r>
    </w:p>
    <w:p w14:paraId="32FB0623">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d) 应对误差纠正措施进行存档，存档内容包纠正或返工措施、设计与施工环节的改进建议、改进后的复检测量结果。</w:t>
      </w:r>
    </w:p>
    <w:p w14:paraId="650B1DF6">
      <w:pPr>
        <w:pStyle w:val="81"/>
        <w:numPr>
          <w:ilvl w:val="1"/>
          <w:numId w:val="0"/>
        </w:numPr>
        <w:spacing w:before="120" w:after="120"/>
        <w:rPr>
          <w:rFonts w:hint="eastAsia"/>
        </w:rPr>
      </w:pPr>
      <w:bookmarkStart w:id="94" w:name="_Toc208327428"/>
      <w:r>
        <w:rPr>
          <w:rFonts w:hint="eastAsia" w:ascii="黑体" w:hAnsi="黑体"/>
        </w:rPr>
        <w:t xml:space="preserve">8  </w:t>
      </w:r>
      <w:bookmarkEnd w:id="91"/>
      <w:bookmarkEnd w:id="92"/>
      <w:r>
        <w:rPr>
          <w:rFonts w:hint="eastAsia"/>
        </w:rPr>
        <w:t>实际拼装偏差控制</w:t>
      </w:r>
      <w:bookmarkEnd w:id="94"/>
    </w:p>
    <w:p w14:paraId="7838CA4B">
      <w:pPr>
        <w:pStyle w:val="81"/>
        <w:numPr>
          <w:ilvl w:val="1"/>
          <w:numId w:val="0"/>
        </w:numPr>
        <w:spacing w:before="120" w:after="120"/>
        <w:rPr>
          <w:rFonts w:hint="eastAsia"/>
        </w:rPr>
      </w:pPr>
      <w:bookmarkStart w:id="95" w:name="_Toc208327429"/>
      <w:bookmarkStart w:id="96" w:name="_Toc16191"/>
      <w:bookmarkStart w:id="97" w:name="_Toc149672687"/>
      <w:bookmarkStart w:id="98" w:name="_Toc149672460"/>
      <w:r>
        <w:rPr>
          <w:rFonts w:hint="eastAsia" w:ascii="黑体" w:hAnsi="Times New Roman" w:cs="Times New Roman"/>
        </w:rPr>
        <w:t>8</w:t>
      </w:r>
      <w:r>
        <w:rPr>
          <w:rFonts w:ascii="黑体" w:hAnsi="Times New Roman" w:cs="Times New Roman"/>
        </w:rPr>
        <w:t>.1</w:t>
      </w:r>
      <w:r>
        <w:rPr>
          <w:rFonts w:ascii="黑体" w:hAnsi="Times New Roman" w:eastAsia="宋体" w:cstheme="minorBidi"/>
          <w:szCs w:val="22"/>
        </w:rPr>
        <w:t>　</w:t>
      </w:r>
      <w:r>
        <w:t>一般规定</w:t>
      </w:r>
      <w:bookmarkEnd w:id="95"/>
      <w:bookmarkEnd w:id="96"/>
      <w:bookmarkEnd w:id="97"/>
      <w:bookmarkEnd w:id="98"/>
    </w:p>
    <w:p w14:paraId="5D74701E">
      <w:pPr>
        <w:numPr>
          <w:ilvl w:val="2"/>
          <w:numId w:val="0"/>
        </w:numPr>
        <w:tabs>
          <w:tab w:val="left" w:pos="0"/>
        </w:tabs>
        <w:spacing w:before="79" w:beforeLines="33" w:after="79" w:afterLines="33"/>
        <w:jc w:val="left"/>
        <w:rPr>
          <w:rFonts w:ascii="黑体" w:hAnsi="Times New Roman" w:eastAsia="宋体"/>
        </w:rPr>
      </w:pPr>
      <w:bookmarkStart w:id="99" w:name="_Toc149672688"/>
      <w:bookmarkStart w:id="100" w:name="_Toc24616"/>
      <w:bookmarkStart w:id="101" w:name="_Toc149672461"/>
      <w:r>
        <w:rPr>
          <w:rFonts w:hint="eastAsia" w:ascii="黑体" w:hAnsi="Times New Roman" w:eastAsia="宋体"/>
        </w:rPr>
        <w:t>8.1.1</w:t>
      </w:r>
      <w:r>
        <w:rPr>
          <w:rFonts w:hint="eastAsia"/>
        </w:rPr>
        <w:t>　</w:t>
      </w:r>
      <w:r>
        <w:rPr>
          <w:rFonts w:hint="eastAsia" w:ascii="黑体" w:hAnsi="Times New Roman" w:eastAsia="宋体"/>
        </w:rPr>
        <w:t>实际拼装建议应从制造、吊装、运输、存储、支护、拼装、监测、人员等全流程提出操作指引，具体应符合下列规定：</w:t>
      </w:r>
    </w:p>
    <w:p w14:paraId="40F5093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应当明确可能引起拼装偏差的各种因素，分析每种偏差来源的特点及其对偏差的影响程度；</w:t>
      </w:r>
    </w:p>
    <w:p w14:paraId="2BEE3B3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宜根据偏差性质对</w:t>
      </w:r>
      <w:r>
        <w:rPr>
          <w:rFonts w:hint="eastAsia" w:ascii="Arial" w:hAnsi="Arial"/>
        </w:rPr>
        <w:t>偏差</w:t>
      </w:r>
      <w:r>
        <w:rPr>
          <w:rFonts w:hint="eastAsia" w:ascii="黑体" w:hAnsi="Times New Roman" w:eastAsia="宋体"/>
        </w:rPr>
        <w:t>进行分类，规定关键控制项目的允许偏差值；</w:t>
      </w:r>
    </w:p>
    <w:p w14:paraId="67A5788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宜规定测量仪器的</w:t>
      </w:r>
      <w:r>
        <w:rPr>
          <w:rFonts w:hint="eastAsia" w:ascii="Arial" w:hAnsi="Arial"/>
        </w:rPr>
        <w:t>精度</w:t>
      </w:r>
      <w:r>
        <w:rPr>
          <w:rFonts w:hint="eastAsia" w:ascii="黑体" w:hAnsi="Times New Roman" w:eastAsia="宋体"/>
        </w:rPr>
        <w:t>等级和检定要求，制定测量环境条件的控制要求；</w:t>
      </w:r>
    </w:p>
    <w:p w14:paraId="4FA6F24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宜对支架体系的布置、刚度和承载能力提出满足承载和稳定性要求；</w:t>
      </w:r>
    </w:p>
    <w:p w14:paraId="1151FA2D">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应制定详细的偏差</w:t>
      </w:r>
      <w:r>
        <w:rPr>
          <w:rFonts w:hint="eastAsia" w:ascii="Arial" w:hAnsi="Arial"/>
        </w:rPr>
        <w:t>实时</w:t>
      </w:r>
      <w:r>
        <w:rPr>
          <w:rFonts w:hint="eastAsia" w:ascii="黑体" w:hAnsi="Times New Roman" w:eastAsia="宋体"/>
        </w:rPr>
        <w:t>监测计划，明确监测频率，并设定合理的预警值，以及偏差超出允许范围时的应急调整</w:t>
      </w:r>
      <w:r>
        <w:rPr>
          <w:rFonts w:hint="eastAsia" w:ascii="Arial" w:hAnsi="Arial"/>
        </w:rPr>
        <w:t>方案</w:t>
      </w:r>
      <w:r>
        <w:rPr>
          <w:rFonts w:hint="eastAsia" w:ascii="黑体" w:hAnsi="Times New Roman" w:eastAsia="宋体"/>
        </w:rPr>
        <w:t>。</w:t>
      </w:r>
    </w:p>
    <w:p w14:paraId="06E6109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宜制定监测数据采集和记录方式，规定相关报告编制的内容和审批流程；</w:t>
      </w:r>
    </w:p>
    <w:p w14:paraId="017D4CC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g) 宜对施工人员的资质、经验进行规定，明确各级人员的责任和职权范围。</w:t>
      </w:r>
    </w:p>
    <w:p w14:paraId="3DDB7171">
      <w:pPr>
        <w:pStyle w:val="81"/>
        <w:numPr>
          <w:ilvl w:val="1"/>
          <w:numId w:val="0"/>
        </w:numPr>
        <w:spacing w:before="120" w:after="120"/>
        <w:rPr>
          <w:rFonts w:hint="eastAsia"/>
        </w:rPr>
      </w:pPr>
      <w:bookmarkStart w:id="102" w:name="_Toc208327430"/>
      <w:r>
        <w:rPr>
          <w:rFonts w:hint="eastAsia" w:ascii="黑体" w:hAnsi="Times New Roman" w:cs="Times New Roman"/>
        </w:rPr>
        <w:t>8</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99"/>
      <w:bookmarkEnd w:id="100"/>
      <w:bookmarkEnd w:id="101"/>
      <w:r>
        <w:rPr>
          <w:rFonts w:hint="eastAsia"/>
        </w:rPr>
        <w:t>拼装偏差测控措施</w:t>
      </w:r>
      <w:bookmarkEnd w:id="102"/>
    </w:p>
    <w:p w14:paraId="71A403EB">
      <w:pPr>
        <w:numPr>
          <w:ilvl w:val="2"/>
          <w:numId w:val="0"/>
        </w:numPr>
        <w:tabs>
          <w:tab w:val="left" w:pos="0"/>
        </w:tabs>
        <w:spacing w:before="79" w:beforeLines="33" w:after="79" w:afterLines="33"/>
        <w:jc w:val="left"/>
        <w:rPr>
          <w:rFonts w:ascii="Times New Roman" w:hAnsi="Times New Roman" w:eastAsia="宋体" w:cs="Times New Roman"/>
          <w:kern w:val="2"/>
          <w:szCs w:val="21"/>
        </w:rPr>
      </w:pPr>
      <w:bookmarkStart w:id="103" w:name="OLE_LINK5"/>
      <w:r>
        <w:rPr>
          <w:rFonts w:hint="eastAsia" w:ascii="黑体" w:hAnsi="Times New Roman" w:eastAsia="宋体"/>
        </w:rPr>
        <w:t>8.2</w:t>
      </w:r>
      <w:r>
        <w:rPr>
          <w:rFonts w:ascii="黑体" w:hAnsi="Times New Roman" w:eastAsia="宋体"/>
        </w:rPr>
        <w:t xml:space="preserve">.1 </w:t>
      </w:r>
      <w:r>
        <w:rPr>
          <w:rFonts w:hint="eastAsia" w:ascii="Times New Roman" w:hAnsi="Times New Roman" w:eastAsia="宋体" w:cs="Times New Roman"/>
          <w:kern w:val="2"/>
          <w:szCs w:val="21"/>
        </w:rPr>
        <w:t>在实际拼装过程中，控制偏差应包含精准测量与标定、现场对接准备、环境调控、临时支撑与定位控制以及三维数字测量等多个关键环节。</w:t>
      </w:r>
    </w:p>
    <w:p w14:paraId="797723F9">
      <w:pPr>
        <w:numPr>
          <w:ilvl w:val="2"/>
          <w:numId w:val="0"/>
        </w:numPr>
        <w:tabs>
          <w:tab w:val="left" w:pos="0"/>
        </w:tabs>
        <w:spacing w:before="79" w:beforeLines="33" w:after="79" w:afterLines="33"/>
        <w:jc w:val="left"/>
        <w:rPr>
          <w:rFonts w:ascii="Times New Roman" w:hAnsi="Times New Roman" w:eastAsia="宋体" w:cs="Times New Roman"/>
          <w:szCs w:val="20"/>
        </w:rPr>
      </w:pPr>
      <w:r>
        <w:rPr>
          <w:rFonts w:ascii="黑体" w:hAnsi="Times New Roman" w:eastAsia="宋体"/>
        </w:rPr>
        <w:t>8.2</w:t>
      </w:r>
      <w:r>
        <w:rPr>
          <w:rFonts w:hint="eastAsia" w:ascii="黑体" w:hAnsi="Times New Roman" w:eastAsia="宋体"/>
        </w:rPr>
        <w:t>.2</w:t>
      </w:r>
      <w:r>
        <w:rPr>
          <w:rFonts w:ascii="黑体" w:hAnsi="Times New Roman" w:eastAsia="宋体"/>
        </w:rPr>
        <w:t xml:space="preserve"> </w:t>
      </w:r>
      <w:r>
        <w:rPr>
          <w:rFonts w:hint="eastAsia" w:ascii="Times New Roman" w:hAnsi="Times New Roman" w:eastAsia="宋体" w:cs="Times New Roman"/>
          <w:kern w:val="2"/>
          <w:szCs w:val="21"/>
        </w:rPr>
        <w:t>在正式测量前，应对仪器设备</w:t>
      </w:r>
      <w:r>
        <w:rPr>
          <w:rFonts w:hint="eastAsia" w:ascii="黑体" w:hAnsi="Times New Roman" w:eastAsia="宋体"/>
        </w:rPr>
        <w:t>进行</w:t>
      </w:r>
      <w:r>
        <w:rPr>
          <w:rFonts w:hint="eastAsia" w:ascii="Times New Roman" w:hAnsi="Times New Roman" w:eastAsia="宋体" w:cs="Times New Roman"/>
          <w:kern w:val="2"/>
          <w:szCs w:val="21"/>
        </w:rPr>
        <w:t>精确标定，以保障每个桁段的尺寸、角度等参数测量准确无误。</w:t>
      </w:r>
      <w:r>
        <w:rPr>
          <w:rFonts w:ascii="Times New Roman" w:hAnsi="Times New Roman" w:eastAsia="宋体" w:cs="Times New Roman"/>
          <w:kern w:val="2"/>
          <w:szCs w:val="21"/>
        </w:rPr>
        <w:t xml:space="preserve"> </w:t>
      </w:r>
    </w:p>
    <w:p w14:paraId="4C5ED0E5">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3</w:t>
      </w:r>
      <w:r>
        <w:rPr>
          <w:rFonts w:ascii="黑体" w:hAnsi="Times New Roman" w:eastAsia="宋体"/>
        </w:rPr>
        <w:t xml:space="preserve"> </w:t>
      </w:r>
      <w:r>
        <w:rPr>
          <w:rFonts w:hint="eastAsia" w:ascii="Times New Roman" w:hAnsi="Times New Roman" w:eastAsia="宋体" w:cs="Times New Roman"/>
          <w:kern w:val="2"/>
          <w:szCs w:val="21"/>
        </w:rPr>
        <w:t>宜对待测桁段的</w:t>
      </w:r>
      <w:r>
        <w:rPr>
          <w:rFonts w:hint="eastAsia" w:ascii="Arial" w:hAnsi="Arial"/>
        </w:rPr>
        <w:t>对接</w:t>
      </w:r>
      <w:r>
        <w:rPr>
          <w:rFonts w:hint="eastAsia" w:ascii="Times New Roman" w:hAnsi="Times New Roman" w:eastAsia="宋体" w:cs="Times New Roman"/>
          <w:kern w:val="2"/>
          <w:szCs w:val="21"/>
        </w:rPr>
        <w:t>面进行</w:t>
      </w:r>
      <w:r>
        <w:rPr>
          <w:rFonts w:hint="eastAsia" w:ascii="黑体" w:hAnsi="Times New Roman" w:eastAsia="宋体"/>
        </w:rPr>
        <w:t>简单</w:t>
      </w:r>
      <w:r>
        <w:rPr>
          <w:rFonts w:hint="eastAsia" w:ascii="Times New Roman" w:hAnsi="Times New Roman" w:eastAsia="宋体" w:cs="Times New Roman"/>
          <w:kern w:val="2"/>
          <w:szCs w:val="21"/>
        </w:rPr>
        <w:t>清洁、调整和加固，确保对接平整、紧密，减少偏差。</w:t>
      </w:r>
      <w:r>
        <w:rPr>
          <w:rFonts w:ascii="Times New Roman" w:hAnsi="Times New Roman" w:eastAsia="宋体" w:cs="Times New Roman"/>
          <w:kern w:val="2"/>
          <w:szCs w:val="21"/>
        </w:rPr>
        <w:t xml:space="preserve"> </w:t>
      </w:r>
    </w:p>
    <w:p w14:paraId="34A050FD">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4</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控制拼装现场的温度、风力等环境因素，确保拼装过程稳定，减少环境对拼装偏差的影响。</w:t>
      </w:r>
    </w:p>
    <w:p w14:paraId="2ED89DF8">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5</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采用稳固可靠的临时支撑结构及调位装置，以有效减少桁段在拼装过程中的形变。</w:t>
      </w:r>
    </w:p>
    <w:p w14:paraId="2A2013E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8.2</w:t>
      </w:r>
      <w:r>
        <w:rPr>
          <w:rFonts w:ascii="黑体" w:hAnsi="Times New Roman" w:eastAsia="宋体"/>
        </w:rPr>
        <w:t>.</w:t>
      </w:r>
      <w:r>
        <w:rPr>
          <w:rFonts w:hint="eastAsia" w:ascii="黑体" w:hAnsi="Times New Roman" w:eastAsia="宋体"/>
        </w:rPr>
        <w:t>6</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采用相关仪器设备对各桁段</w:t>
      </w:r>
      <w:r>
        <w:rPr>
          <w:rFonts w:hint="eastAsia" w:ascii="黑体" w:hAnsi="Times New Roman" w:eastAsia="宋体"/>
        </w:rPr>
        <w:t>进行</w:t>
      </w:r>
      <w:r>
        <w:rPr>
          <w:rFonts w:hint="eastAsia" w:ascii="Times New Roman" w:hAnsi="Times New Roman" w:eastAsia="宋体" w:cs="Times New Roman"/>
          <w:kern w:val="2"/>
          <w:szCs w:val="21"/>
        </w:rPr>
        <w:t>全面的几何尺寸、位置度、角度等参数的测量，应对特征点、连接孔、焊接缝等进行细致检测。</w:t>
      </w:r>
    </w:p>
    <w:bookmarkEnd w:id="103"/>
    <w:p w14:paraId="54C3F9D9">
      <w:pPr>
        <w:pStyle w:val="81"/>
        <w:numPr>
          <w:ilvl w:val="1"/>
          <w:numId w:val="0"/>
        </w:numPr>
        <w:spacing w:before="120" w:after="120"/>
        <w:rPr>
          <w:rFonts w:hint="eastAsia"/>
        </w:rPr>
      </w:pPr>
      <w:bookmarkStart w:id="104" w:name="_Toc208327431"/>
      <w:r>
        <w:rPr>
          <w:rFonts w:hint="eastAsia" w:ascii="黑体" w:hAnsi="Times New Roman" w:cs="黑体"/>
        </w:rPr>
        <w:t>9</w:t>
      </w:r>
      <w:r>
        <w:rPr>
          <w:rFonts w:hint="eastAsia" w:hAnsi="Times New Roman" w:cs="黑体"/>
        </w:rPr>
        <w:t xml:space="preserve">  </w:t>
      </w:r>
      <w:r>
        <w:rPr>
          <w:rFonts w:hint="eastAsia"/>
        </w:rPr>
        <w:t>标准实施及评价</w:t>
      </w:r>
      <w:bookmarkEnd w:id="104"/>
    </w:p>
    <w:p w14:paraId="24FF636B">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9.1</w:t>
      </w:r>
      <w:r>
        <w:rPr>
          <w:rFonts w:ascii="黑体" w:hAnsi="Times New Roman" w:eastAsia="宋体"/>
        </w:rPr>
        <w:t>　</w:t>
      </w:r>
      <w:r>
        <w:rPr>
          <w:rFonts w:hint="eastAsia" w:ascii="Times New Roman" w:hAnsi="Times New Roman" w:eastAsia="宋体" w:cs="Times New Roman"/>
          <w:kern w:val="2"/>
          <w:szCs w:val="21"/>
        </w:rPr>
        <w:t>结合实际，认真做好标准实施准备，包括标准实施的方案准备、组织准备、知识准备、手段准备和物质条件准备等。</w:t>
      </w:r>
    </w:p>
    <w:p w14:paraId="6248219E">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9.2</w:t>
      </w:r>
      <w:r>
        <w:rPr>
          <w:rFonts w:ascii="黑体" w:hAnsi="Times New Roman" w:eastAsia="宋体"/>
        </w:rPr>
        <w:t>　</w:t>
      </w:r>
      <w:r>
        <w:rPr>
          <w:rFonts w:hint="eastAsia" w:ascii="Times New Roman" w:hAnsi="Times New Roman" w:eastAsia="宋体" w:cs="Times New Roman"/>
          <w:kern w:val="2"/>
          <w:szCs w:val="21"/>
        </w:rPr>
        <w:t>制定标准实施方案，明确适用对象和场景、提供实施必备条件和保障(组织、制度、资金、人员和设备仪器等)、推荐方法路径，确定资源要素配置、关键环节和控制点，提出标准实施中的注意事项。</w:t>
      </w:r>
    </w:p>
    <w:p w14:paraId="7A8774A4">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9.3</w:t>
      </w:r>
      <w:r>
        <w:rPr>
          <w:rFonts w:ascii="黑体" w:hAnsi="Times New Roman" w:eastAsia="宋体"/>
        </w:rPr>
        <w:t>　</w:t>
      </w:r>
      <w:r>
        <w:rPr>
          <w:rFonts w:hint="eastAsia" w:ascii="Times New Roman" w:hAnsi="Times New Roman" w:eastAsia="宋体" w:cs="Times New Roman"/>
          <w:kern w:val="2"/>
          <w:szCs w:val="21"/>
        </w:rPr>
        <w:t>针对相关方和具体对象/岗位进行标准宜贯和培训，结合标准要求，落实责任制，到横向到边，纵向到底。</w:t>
      </w:r>
    </w:p>
    <w:p w14:paraId="2DDF00A6">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9.4</w:t>
      </w:r>
      <w:r>
        <w:rPr>
          <w:rFonts w:ascii="黑体" w:hAnsi="Times New Roman" w:eastAsia="宋体"/>
        </w:rPr>
        <w:t>　</w:t>
      </w:r>
      <w:r>
        <w:rPr>
          <w:rFonts w:hint="eastAsia" w:ascii="Times New Roman" w:hAnsi="Times New Roman" w:eastAsia="宋体" w:cs="Times New Roman"/>
          <w:kern w:val="2"/>
          <w:szCs w:val="21"/>
        </w:rPr>
        <w:t>标准实施主要是在桥梁类新建工程、改建工程和扩建工程的桥梁钢桁梁拼装等活动中展开。</w:t>
      </w:r>
      <w:bookmarkStart w:id="105" w:name="_Hlk208328789"/>
      <w:r>
        <w:rPr>
          <w:rFonts w:hint="eastAsia" w:ascii="Times New Roman" w:hAnsi="Times New Roman" w:eastAsia="宋体" w:cs="Times New Roman"/>
          <w:kern w:val="2"/>
          <w:szCs w:val="21"/>
        </w:rPr>
        <w:t>本标准实施的重点是落实国家的环境保护、安全的要求。</w:t>
      </w:r>
      <w:bookmarkEnd w:id="105"/>
    </w:p>
    <w:p w14:paraId="1D7872FC">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9.5</w:t>
      </w:r>
      <w:r>
        <w:rPr>
          <w:rFonts w:ascii="黑体" w:hAnsi="Times New Roman" w:eastAsia="宋体"/>
        </w:rPr>
        <w:t>　</w:t>
      </w:r>
      <w:r>
        <w:rPr>
          <w:rFonts w:hint="eastAsia" w:ascii="Times New Roman" w:hAnsi="Times New Roman" w:eastAsia="宋体" w:cs="Times New Roman"/>
          <w:kern w:val="2"/>
          <w:szCs w:val="21"/>
        </w:rPr>
        <w:t>标准实施的检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主要是检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标准实施方案的落实情况，需要逐条检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标准实施内容的落实，并记录未实施内容的理由或原因。标准实施检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也要检</w:t>
      </w:r>
      <w:r>
        <w:rPr>
          <w:rFonts w:hint="eastAsia" w:ascii="Times New Roman" w:hAnsi="Times New Roman" w:eastAsia="宋体" w:cs="Times New Roman"/>
          <w:kern w:val="2"/>
          <w:szCs w:val="21"/>
          <w:lang w:eastAsia="zh-CN"/>
        </w:rPr>
        <w:t>查</w:t>
      </w:r>
      <w:bookmarkStart w:id="111" w:name="_GoBack"/>
      <w:bookmarkEnd w:id="111"/>
      <w:r>
        <w:rPr>
          <w:rFonts w:hint="eastAsia" w:ascii="Times New Roman" w:hAnsi="Times New Roman" w:eastAsia="宋体" w:cs="Times New Roman"/>
          <w:kern w:val="2"/>
          <w:szCs w:val="21"/>
        </w:rPr>
        <w:t>标准实施的支持手段和物质条件的落实情况。做好标准实施验证记录，畅通标准实施信息采集的方式方法和反馈渠道，定期整理并处理收集到的意见建议。</w:t>
      </w:r>
    </w:p>
    <w:p w14:paraId="4C7488A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Times New Roman" w:hAnsi="Times New Roman" w:eastAsia="宋体" w:cs="Times New Roman"/>
          <w:kern w:val="2"/>
          <w:szCs w:val="21"/>
        </w:rPr>
        <w:t>对标准实施评价的基本依据是《中华人民共和国标准化法》等。</w:t>
      </w:r>
    </w:p>
    <w:p w14:paraId="377CE7DA">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9.6</w:t>
      </w:r>
      <w:r>
        <w:rPr>
          <w:rFonts w:ascii="黑体" w:hAnsi="Times New Roman" w:eastAsia="宋体"/>
        </w:rPr>
        <w:t>　</w:t>
      </w:r>
      <w:r>
        <w:rPr>
          <w:rFonts w:hint="eastAsia" w:ascii="Times New Roman" w:hAnsi="Times New Roman" w:eastAsia="宋体" w:cs="Times New Roman"/>
          <w:kern w:val="2"/>
          <w:szCs w:val="21"/>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使为未米改进提供参考。</w:t>
      </w:r>
    </w:p>
    <w:p w14:paraId="16E92C68">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9.7</w:t>
      </w:r>
      <w:r>
        <w:rPr>
          <w:rFonts w:ascii="黑体" w:hAnsi="Times New Roman" w:eastAsia="宋体"/>
        </w:rPr>
        <w:t>　</w:t>
      </w:r>
      <w:r>
        <w:rPr>
          <w:rFonts w:hint="eastAsia" w:ascii="Times New Roman" w:hAnsi="Times New Roman" w:eastAsia="宋体" w:cs="Times New Roman"/>
          <w:kern w:val="2"/>
          <w:szCs w:val="21"/>
        </w:rPr>
        <w:t>适时向专业标准化技术委员会和标准归口管理单位反馈情况，提出标准推广、修改、补充、完善或者废止等意见建议。</w:t>
      </w:r>
    </w:p>
    <w:p w14:paraId="44C6633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9.8</w:t>
      </w:r>
      <w:r>
        <w:rPr>
          <w:rFonts w:ascii="黑体" w:hAnsi="Times New Roman" w:eastAsia="宋体"/>
        </w:rPr>
        <w:t>　</w:t>
      </w:r>
      <w:r>
        <w:rPr>
          <w:rFonts w:hint="eastAsia" w:ascii="Times New Roman" w:hAnsi="Times New Roman" w:eastAsia="宋体" w:cs="Times New Roman"/>
          <w:kern w:val="2"/>
          <w:szCs w:val="21"/>
        </w:rPr>
        <w:t>标准实施信息及意见反馈表相关示例见附录A。</w:t>
      </w:r>
    </w:p>
    <w:p w14:paraId="72B03EA0">
      <w:pPr>
        <w:pStyle w:val="122"/>
        <w:shd w:val="clear" w:color="auto" w:fill="FFFFFF"/>
        <w:spacing w:before="60" w:after="120"/>
      </w:pPr>
      <w:r>
        <w:rPr>
          <w:rFonts w:ascii="Times New Roman" w:eastAsia="宋体"/>
          <w:kern w:val="2"/>
          <w:szCs w:val="21"/>
        </w:rPr>
        <w:br w:type="page"/>
      </w:r>
      <w:bookmarkStart w:id="106" w:name="_Toc208327432"/>
      <w:bookmarkStart w:id="107" w:name="OLE_LINK1"/>
      <w:r>
        <w:rPr>
          <w:rFonts w:hint="eastAsia" w:hAnsi="黑体"/>
          <w:kern w:val="2"/>
          <w:szCs w:val="21"/>
        </w:rPr>
        <w:t>附  录  A</w:t>
      </w:r>
      <w:r>
        <w:rPr>
          <w:rFonts w:hint="eastAsia"/>
        </w:rPr>
        <w:br w:type="textWrapping"/>
      </w:r>
      <w:bookmarkStart w:id="108" w:name="_Toc151390325"/>
      <w:bookmarkStart w:id="109" w:name="_Toc151390230"/>
      <w:bookmarkStart w:id="110" w:name="_Toc151389568"/>
      <w:r>
        <w:rPr>
          <w:rFonts w:hint="eastAsia"/>
        </w:rPr>
        <w:t>（资料性）</w:t>
      </w:r>
      <w:r>
        <w:rPr>
          <w:rFonts w:hint="eastAsia"/>
        </w:rPr>
        <w:br w:type="textWrapping"/>
      </w:r>
      <w:r>
        <w:rPr>
          <w:rFonts w:hint="eastAsia"/>
        </w:rPr>
        <w:t>湖北省地方标准实施信息及意见反馈表</w:t>
      </w:r>
      <w:bookmarkEnd w:id="106"/>
      <w:bookmarkEnd w:id="108"/>
      <w:bookmarkEnd w:id="109"/>
      <w:bookmarkEnd w:id="110"/>
    </w:p>
    <w:bookmarkEnd w:id="107"/>
    <w:p w14:paraId="0AC662B4">
      <w:pPr>
        <w:widowControl/>
        <w:autoSpaceDE w:val="0"/>
        <w:autoSpaceDN w:val="0"/>
        <w:ind w:firstLine="420" w:firstLineChars="200"/>
        <w:rPr>
          <w:rFonts w:ascii="宋体" w:hAnsi="Times New Roman" w:eastAsia="宋体" w:cs="Times New Roman"/>
          <w:szCs w:val="20"/>
        </w:rPr>
      </w:pPr>
      <w:r>
        <w:rPr>
          <w:rFonts w:hint="eastAsia" w:ascii="宋体" w:hAnsi="Times New Roman" w:eastAsia="宋体" w:cs="Times New Roman"/>
          <w:szCs w:val="20"/>
        </w:rPr>
        <w:t>湖北省地方标准实施信息及意见反馈表如表A.1所示。</w:t>
      </w:r>
    </w:p>
    <w:p w14:paraId="5E143CC3">
      <w:pPr>
        <w:widowControl/>
        <w:numPr>
          <w:ilvl w:val="1"/>
          <w:numId w:val="0"/>
        </w:numPr>
        <w:adjustRightInd w:val="0"/>
        <w:snapToGrid w:val="0"/>
        <w:spacing w:before="120" w:beforeLines="50" w:after="120" w:afterLines="50"/>
        <w:ind w:firstLine="420"/>
        <w:jc w:val="center"/>
        <w:rPr>
          <w:rFonts w:ascii="黑体" w:hAnsi="Times New Roman" w:eastAsia="黑体" w:cs="Times New Roman"/>
          <w:kern w:val="21"/>
          <w:szCs w:val="20"/>
        </w:rPr>
      </w:pPr>
      <w:r>
        <w:rPr>
          <w:rFonts w:hint="eastAsia" w:ascii="黑体" w:hAnsi="Times New Roman" w:eastAsia="黑体" w:cs="Times New Roman"/>
          <w:kern w:val="21"/>
          <w:szCs w:val="20"/>
        </w:rPr>
        <w:t>湖北省地方标准实施信息及意见反馈表</w:t>
      </w:r>
    </w:p>
    <w:tbl>
      <w:tblPr>
        <w:tblStyle w:val="120"/>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384"/>
      </w:tblGrid>
      <w:tr w14:paraId="53A0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204CFC8A">
            <w:pPr>
              <w:widowControl/>
              <w:kinsoku w:val="0"/>
              <w:autoSpaceDE w:val="0"/>
              <w:autoSpaceDN w:val="0"/>
              <w:snapToGrid w:val="0"/>
              <w:ind w:left="11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9"/>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664A4C3A">
            <w:pPr>
              <w:jc w:val="left"/>
              <w:rPr>
                <w:rFonts w:hint="eastAsia" w:ascii="宋体" w:hAnsi="宋体" w:eastAsia="宋体" w:cs="Arial"/>
                <w:sz w:val="18"/>
                <w:szCs w:val="18"/>
              </w:rPr>
            </w:pPr>
          </w:p>
        </w:tc>
      </w:tr>
      <w:tr w14:paraId="0E12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7705C70A">
            <w:pPr>
              <w:widowControl/>
              <w:kinsoku w:val="0"/>
              <w:autoSpaceDE w:val="0"/>
              <w:autoSpaceDN w:val="0"/>
              <w:snapToGrid w:val="0"/>
              <w:ind w:left="14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47258708">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6911AC41">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该标准与当前所在地的产业或社会发展水平是否</w:t>
            </w:r>
          </w:p>
          <w:p w14:paraId="1ABBCB3B">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4A0DEA54">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1F5C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119E95F6">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A06D22B">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0586FB42">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该标准的特色要求与其他强制性标准的主要技术指标、相关法律法规、部门规章或产业政策是否</w:t>
            </w:r>
            <w:r>
              <w:rPr>
                <w:rFonts w:hint="eastAsia" w:ascii="宋体" w:hAnsi="宋体" w:eastAsia="宋体" w:cs="Times New Roman"/>
                <w:color w:val="000000"/>
                <w:spacing w:val="2"/>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33DE7645">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4E99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1A152343">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1EAB07E">
            <w:pPr>
              <w:widowControl/>
              <w:kinsoku w:val="0"/>
              <w:autoSpaceDE w:val="0"/>
              <w:autoSpaceDN w:val="0"/>
              <w:snapToGrid w:val="0"/>
              <w:ind w:left="3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position w:val="12"/>
                <w:sz w:val="18"/>
                <w:szCs w:val="18"/>
              </w:rPr>
              <w:t>执行</w:t>
            </w:r>
          </w:p>
          <w:p w14:paraId="09188FEF">
            <w:pPr>
              <w:widowControl/>
              <w:kinsoku w:val="0"/>
              <w:autoSpaceDE w:val="0"/>
              <w:autoSpaceDN w:val="0"/>
              <w:snapToGrid w:val="0"/>
              <w:ind w:left="35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13B0AE37">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标准执行单位或人员是否按照标准要求组织开展</w:t>
            </w:r>
          </w:p>
          <w:p w14:paraId="106B6C74">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67A5D77F">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009C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6A05181F">
            <w:pPr>
              <w:widowControl/>
              <w:kinsoku w:val="0"/>
              <w:autoSpaceDE w:val="0"/>
              <w:autoSpaceDN w:val="0"/>
              <w:snapToGrid w:val="0"/>
              <w:ind w:left="14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36732DFE">
            <w:pPr>
              <w:widowControl/>
              <w:kinsoku w:val="0"/>
              <w:autoSpaceDE w:val="0"/>
              <w:autoSpaceDN w:val="0"/>
              <w:snapToGrid w:val="0"/>
              <w:ind w:left="11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7E00E555">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3AD5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0FEBC1FD">
            <w:pPr>
              <w:widowControl/>
              <w:jc w:val="left"/>
              <w:rPr>
                <w:rFonts w:hint="eastAsia" w:ascii="宋体" w:hAnsi="宋体" w:eastAsia="宋体" w:cs="Times New Roman"/>
                <w:color w:val="00000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11F8ADAA">
            <w:pPr>
              <w:widowControl/>
              <w:kinsoku w:val="0"/>
              <w:autoSpaceDE w:val="0"/>
              <w:autoSpaceDN w:val="0"/>
              <w:snapToGrid w:val="0"/>
              <w:ind w:left="12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58C3E473">
            <w:pPr>
              <w:jc w:val="left"/>
              <w:rPr>
                <w:rFonts w:hint="eastAsia" w:ascii="宋体" w:hAnsi="宋体" w:eastAsia="宋体" w:cs="Arial"/>
                <w:sz w:val="18"/>
                <w:szCs w:val="18"/>
              </w:rPr>
            </w:pPr>
          </w:p>
        </w:tc>
      </w:tr>
      <w:tr w14:paraId="240A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2F22A9EC">
            <w:pPr>
              <w:widowControl/>
              <w:kinsoku w:val="0"/>
              <w:autoSpaceDE w:val="0"/>
              <w:autoSpaceDN w:val="0"/>
              <w:snapToGrid w:val="0"/>
              <w:ind w:left="126"/>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448F532">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position w:val="12"/>
                <w:sz w:val="18"/>
                <w:szCs w:val="18"/>
              </w:rPr>
              <w:t>总体</w:t>
            </w:r>
          </w:p>
          <w:p w14:paraId="564DF1DC">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083E0B51">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适用    </w:t>
            </w:r>
            <w:r>
              <w:rPr>
                <w:rFonts w:ascii="宋体" w:hAnsi="宋体" w:eastAsia="等线" w:cs="Times New Roman"/>
                <w:color w:val="000000"/>
                <w:sz w:val="18"/>
                <w:szCs w:val="18"/>
              </w:rPr>
              <w:drawing>
                <wp:inline distT="0" distB="0" distL="0" distR="0">
                  <wp:extent cx="112395" cy="112395"/>
                  <wp:effectExtent l="0" t="0" r="1905" b="190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修改    </w:t>
            </w:r>
            <w:r>
              <w:rPr>
                <w:rFonts w:ascii="宋体" w:hAnsi="宋体" w:eastAsia="等线" w:cs="Times New Roman"/>
                <w:color w:val="000000"/>
                <w:sz w:val="18"/>
                <w:szCs w:val="18"/>
              </w:rPr>
              <w:drawing>
                <wp:inline distT="0" distB="0" distL="0" distR="0">
                  <wp:extent cx="112395" cy="112395"/>
                  <wp:effectExtent l="0" t="0" r="1905" b="1905"/>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废止</w:t>
            </w:r>
          </w:p>
        </w:tc>
      </w:tr>
      <w:tr w14:paraId="42C0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7C256A65">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14:paraId="6992BD7F">
            <w:pPr>
              <w:widowControl/>
              <w:kinsoku w:val="0"/>
              <w:autoSpaceDE w:val="0"/>
              <w:autoSpaceDN w:val="0"/>
              <w:snapToGrid w:val="0"/>
              <w:ind w:left="23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position w:val="12"/>
                <w:sz w:val="18"/>
                <w:szCs w:val="18"/>
              </w:rPr>
              <w:t>具体修</w:t>
            </w:r>
          </w:p>
          <w:p w14:paraId="627298CB">
            <w:pPr>
              <w:widowControl/>
              <w:kinsoku w:val="0"/>
              <w:autoSpaceDE w:val="0"/>
              <w:autoSpaceDN w:val="0"/>
              <w:snapToGrid w:val="0"/>
              <w:ind w:left="2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14:paraId="62D39744">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需修改章节：</w:t>
            </w:r>
          </w:p>
          <w:p w14:paraId="6B81CF88">
            <w:pPr>
              <w:widowControl/>
              <w:kinsoku w:val="0"/>
              <w:autoSpaceDE w:val="0"/>
              <w:autoSpaceDN w:val="0"/>
              <w:snapToGrid w:val="0"/>
              <w:ind w:left="12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具体修改意见：</w:t>
            </w:r>
          </w:p>
        </w:tc>
      </w:tr>
      <w:tr w14:paraId="075C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06A12A20">
            <w:pPr>
              <w:widowControl/>
              <w:kinsoku w:val="0"/>
              <w:autoSpaceDE w:val="0"/>
              <w:autoSpaceDN w:val="0"/>
              <w:snapToGrid w:val="0"/>
              <w:ind w:left="13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7"/>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14:paraId="00A5108A">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标准化行政主管部门</w:t>
            </w:r>
          </w:p>
          <w:p w14:paraId="61960F6E">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省直行业主管部门</w:t>
            </w:r>
          </w:p>
          <w:p w14:paraId="29CB03B0">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0"/>
                <w:sz w:val="18"/>
                <w:szCs w:val="18"/>
              </w:rPr>
              <w:t>专业标准化技术委员会（工作组）</w:t>
            </w:r>
          </w:p>
          <w:p w14:paraId="4DBB83B9">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1"/>
                <w:sz w:val="18"/>
                <w:szCs w:val="18"/>
              </w:rPr>
              <w:t>标准起草组（牵头起草单位）</w:t>
            </w:r>
          </w:p>
        </w:tc>
      </w:tr>
      <w:tr w14:paraId="0C25F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6D7819FB">
            <w:pPr>
              <w:widowControl/>
              <w:kinsoku w:val="0"/>
              <w:autoSpaceDE w:val="0"/>
              <w:autoSpaceDN w:val="0"/>
              <w:snapToGrid w:val="0"/>
              <w:ind w:left="25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14:paraId="083ECA6B">
            <w:pPr>
              <w:widowControl/>
              <w:kinsoku w:val="0"/>
              <w:autoSpaceDE w:val="0"/>
              <w:autoSpaceDN w:val="0"/>
              <w:snapToGrid w:val="0"/>
              <w:ind w:left="11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姓名：</w:t>
            </w:r>
            <w:r>
              <w:rPr>
                <w:rFonts w:hint="eastAsia" w:ascii="宋体" w:hAnsi="宋体" w:eastAsia="宋体" w:cs="Times New Roman"/>
                <w:color w:val="000000"/>
                <w:spacing w:val="8"/>
                <w:sz w:val="18"/>
                <w:szCs w:val="18"/>
              </w:rPr>
              <w:t xml:space="preserve">           </w:t>
            </w:r>
            <w:r>
              <w:rPr>
                <w:rFonts w:hint="eastAsia" w:ascii="宋体" w:hAnsi="宋体" w:eastAsia="宋体" w:cs="Times New Roman"/>
                <w:color w:val="000000"/>
                <w:spacing w:val="2"/>
                <w:sz w:val="18"/>
                <w:szCs w:val="18"/>
              </w:rPr>
              <w:t>单位：</w:t>
            </w:r>
            <w:r>
              <w:rPr>
                <w:rFonts w:hint="eastAsia" w:ascii="宋体" w:hAnsi="宋体" w:eastAsia="宋体" w:cs="Times New Roman"/>
                <w:color w:val="000000"/>
                <w:spacing w:val="1"/>
                <w:sz w:val="18"/>
                <w:szCs w:val="18"/>
              </w:rPr>
              <w:t xml:space="preserve">                      </w:t>
            </w:r>
            <w:r>
              <w:rPr>
                <w:rFonts w:hint="eastAsia" w:ascii="宋体" w:hAnsi="宋体" w:eastAsia="宋体" w:cs="Times New Roman"/>
                <w:color w:val="000000"/>
                <w:spacing w:val="2"/>
                <w:sz w:val="18"/>
                <w:szCs w:val="18"/>
              </w:rPr>
              <w:t>联系方式：</w:t>
            </w:r>
          </w:p>
        </w:tc>
      </w:tr>
    </w:tbl>
    <w:p w14:paraId="436F2BD9">
      <w:pPr>
        <w:ind w:firstLine="360" w:firstLineChars="20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234F4766">
      <w:pPr>
        <w:ind w:firstLine="420" w:firstLineChars="200"/>
        <w:jc w:val="left"/>
        <w:rPr>
          <w:rFonts w:hint="eastAsia" w:ascii="宋体" w:hAnsi="宋体" w:eastAsia="宋体" w:cs="Times New Roman"/>
          <w:kern w:val="2"/>
        </w:rPr>
      </w:pPr>
    </w:p>
    <w:p w14:paraId="4160B5DD">
      <w:pPr>
        <w:widowControl/>
        <w:jc w:val="left"/>
        <w:rPr>
          <w:rFonts w:ascii="Times New Roman" w:hAnsi="Times New Roman" w:eastAsia="宋体" w:cs="Times New Roman"/>
          <w:kern w:val="2"/>
          <w:szCs w:val="21"/>
        </w:rPr>
      </w:pPr>
    </w:p>
    <w:sectPr>
      <w:headerReference r:id="rId11" w:type="first"/>
      <w:headerReference r:id="rId9" w:type="default"/>
      <w:footerReference r:id="rId12" w:type="default"/>
      <w:headerReference r:id="rId10" w:type="even"/>
      <w:pgSz w:w="11905" w:h="16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D1D">
    <w:pPr>
      <w:pStyle w:val="17"/>
      <w:jc w:val="left"/>
      <w:rPr>
        <w:rFonts w:hint="eastAsia" w:ascii="宋体" w:hAnsi="宋体"/>
      </w:rPr>
    </w:pPr>
  </w:p>
  <w:p w14:paraId="0C5F7B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83E3">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91135" cy="139700"/>
              <wp:effectExtent l="2540" t="0" r="0" b="0"/>
              <wp:wrapNone/>
              <wp:docPr id="15559696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1135" cy="139700"/>
                      </a:xfrm>
                      <a:prstGeom prst="rect">
                        <a:avLst/>
                      </a:prstGeom>
                      <a:noFill/>
                      <a:ln>
                        <a:noFill/>
                      </a:ln>
                    </wps:spPr>
                    <wps:txbx>
                      <w:txbxContent>
                        <w:p w14:paraId="119A496F">
                          <w:pPr>
                            <w:pStyle w:val="17"/>
                          </w:pPr>
                          <w:r>
                            <w:fldChar w:fldCharType="begin"/>
                          </w:r>
                          <w:r>
                            <w:instrText xml:space="preserve"> PAGE  \* MERGEFORMAT </w:instrText>
                          </w:r>
                          <w:r>
                            <w:fldChar w:fldCharType="separate"/>
                          </w:r>
                          <w:r>
                            <w:t>IV</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15.05pt;mso-position-horizontal:right;mso-position-horizontal-relative:margin;mso-wrap-style:none;z-index:251659264;mso-width-relative:page;mso-height-relative:page;" filled="f" stroked="f" coordsize="21600,21600" o:gfxdata="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Qi4C0AAAAAMBAAAPAAAAAAAAAAEAIAAAACIAAABkcnMvZG93bnJldi54&#10;bWxQSwECFAAUAAAACACHTuJAqVZIRAICAAAKBAAADgAAAAAAAAABACAAAAAfAQAAZHJzL2Uyb0Rv&#10;Yy54bWxQSwUGAAAAAAYABgBZAQAAkwUAAAAA&#10;">
              <v:fill on="f" focussize="0,0"/>
              <v:stroke on="f"/>
              <v:imagedata o:title=""/>
              <o:lock v:ext="edit" aspectratio="f"/>
              <v:textbox inset="0mm,0mm,0mm,0mm" style="mso-fit-shape-to-text:t;">
                <w:txbxContent>
                  <w:p w14:paraId="119A496F">
                    <w:pPr>
                      <w:pStyle w:val="17"/>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7953">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91770" cy="139700"/>
              <wp:effectExtent l="1905" t="0" r="0" b="0"/>
              <wp:wrapNone/>
              <wp:docPr id="340670174" name="Text Box 7"/>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wps:spPr>
                    <wps:txbx>
                      <w:txbxContent>
                        <w:p w14:paraId="00040C69">
                          <w:pPr>
                            <w:pStyle w:val="17"/>
                          </w:pPr>
                          <w:r>
                            <w:fldChar w:fldCharType="begin"/>
                          </w:r>
                          <w:r>
                            <w:instrText xml:space="preserve"> PAGE  \* MERGEFORMAT </w:instrText>
                          </w:r>
                          <w:r>
                            <w:fldChar w:fldCharType="separate"/>
                          </w:r>
                          <w:r>
                            <w:t>257</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15.1pt;mso-position-horizontal:right;mso-position-horizontal-relative:margin;mso-wrap-style:none;z-index:251660288;mso-width-relative:page;mso-height-relative:page;" filled="f" stroked="f" coordsize="21600,21600" o:gfxdata="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vurHRAAAAAwEAAA8AAAAAAAAAAQAgAAAAIgAAAGRycy9kb3ducmV2Lnht&#10;bFBLAQIUABQAAAAIAIdO4kCKGBjPAAIAAAkEAAAOAAAAAAAAAAEAIAAAACABAABkcnMvZTJvRG9j&#10;LnhtbFBLBQYAAAAABgAGAFkBAACSBQAAAAA=&#10;">
              <v:fill on="f" focussize="0,0"/>
              <v:stroke on="f"/>
              <v:imagedata o:title=""/>
              <o:lock v:ext="edit" aspectratio="f"/>
              <v:textbox inset="0mm,0mm,0mm,0mm" style="mso-fit-shape-to-text:t;">
                <w:txbxContent>
                  <w:p w14:paraId="00040C69">
                    <w:pPr>
                      <w:pStyle w:val="17"/>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4057">
    <w:pPr>
      <w:pStyle w:val="89"/>
    </w:pPr>
    <w:r>
      <w:t>DB42/</w:t>
    </w:r>
    <w:r>
      <w:rPr>
        <w:rFonts w:hint="eastAsia"/>
      </w:rPr>
      <w:t>T 1513-2019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47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BE2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7537">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3A22">
    <w:pPr>
      <w:pStyle w:val="18"/>
      <w:ind w:firstLine="1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235F">
    <w:pPr>
      <w:pStyle w:val="18"/>
      <w:ind w:firstLine="1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D5B8">
    <w:pPr>
      <w:pStyle w:val="18"/>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C08B"/>
    <w:multiLevelType w:val="multilevel"/>
    <w:tmpl w:val="94C1C08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B1EB274B"/>
    <w:multiLevelType w:val="singleLevel"/>
    <w:tmpl w:val="B1EB274B"/>
    <w:lvl w:ilvl="0" w:tentative="0">
      <w:start w:val="1"/>
      <w:numFmt w:val="decimal"/>
      <w:pStyle w:val="85"/>
      <w:lvlText w:val="A.%1"/>
      <w:lvlJc w:val="left"/>
      <w:pPr>
        <w:tabs>
          <w:tab w:val="left" w:pos="420"/>
        </w:tabs>
        <w:ind w:left="425" w:hanging="425"/>
      </w:pPr>
      <w:rPr>
        <w:rFonts w:hint="default"/>
      </w:rPr>
    </w:lvl>
  </w:abstractNum>
  <w:abstractNum w:abstractNumId="2">
    <w:nsid w:val="C3E323A7"/>
    <w:multiLevelType w:val="multilevel"/>
    <w:tmpl w:val="C3E323A7"/>
    <w:lvl w:ilvl="0" w:tentative="0">
      <w:start w:val="1"/>
      <w:numFmt w:val="decimal"/>
      <w:pStyle w:val="82"/>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C4A2D33D"/>
    <w:multiLevelType w:val="singleLevel"/>
    <w:tmpl w:val="C4A2D33D"/>
    <w:lvl w:ilvl="0" w:tentative="0">
      <w:start w:val="1"/>
      <w:numFmt w:val="decimal"/>
      <w:pStyle w:val="104"/>
      <w:lvlText w:val="C.%1"/>
      <w:lvlJc w:val="left"/>
      <w:pPr>
        <w:tabs>
          <w:tab w:val="left" w:pos="420"/>
        </w:tabs>
        <w:ind w:left="425" w:hanging="425"/>
      </w:pPr>
      <w:rPr>
        <w:rFonts w:hint="default"/>
      </w:rPr>
    </w:lvl>
  </w:abstractNum>
  <w:abstractNum w:abstractNumId="4">
    <w:nsid w:val="D0076648"/>
    <w:multiLevelType w:val="multilevel"/>
    <w:tmpl w:val="D0076648"/>
    <w:lvl w:ilvl="0" w:tentative="0">
      <w:start w:val="1"/>
      <w:numFmt w:val="decimal"/>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70"/>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E6A005E4"/>
    <w:multiLevelType w:val="multilevel"/>
    <w:tmpl w:val="E6A005E4"/>
    <w:lvl w:ilvl="0" w:tentative="0">
      <w:start w:val="1"/>
      <w:numFmt w:val="decimal"/>
      <w:pStyle w:val="77"/>
      <w:suff w:val="nothing"/>
      <w:lvlText w:val="表B.%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B.%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E81FC4C7"/>
    <w:multiLevelType w:val="multilevel"/>
    <w:tmpl w:val="E81FC4C7"/>
    <w:lvl w:ilvl="0" w:tentative="0">
      <w:start w:val="1"/>
      <w:numFmt w:val="decimal"/>
      <w:pStyle w:val="79"/>
      <w:suff w:val="nothing"/>
      <w:lvlText w:val="表D.%1　"/>
      <w:lvlJc w:val="center"/>
      <w:pPr>
        <w:tabs>
          <w:tab w:val="left" w:pos="0"/>
        </w:tabs>
        <w:ind w:left="0" w:firstLine="0"/>
      </w:pPr>
    </w:lvl>
    <w:lvl w:ilvl="1" w:tentative="0">
      <w:start w:val="1"/>
      <w:numFmt w:val="decimal"/>
      <w:suff w:val="nothing"/>
      <w:lvlText w:val="表D.%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EB27DD09"/>
    <w:multiLevelType w:val="multilevel"/>
    <w:tmpl w:val="EB27DD09"/>
    <w:lvl w:ilvl="0" w:tentative="0">
      <w:start w:val="1"/>
      <w:numFmt w:val="decimal"/>
      <w:pStyle w:val="78"/>
      <w:suff w:val="nothing"/>
      <w:lvlText w:val="表C.%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C.%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F1528732"/>
    <w:multiLevelType w:val="multilevel"/>
    <w:tmpl w:val="F1528732"/>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9"/>
      <w:suff w:val="nothing"/>
      <w:lvlText w:val="%1.%2.%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F56D2DDD"/>
    <w:multiLevelType w:val="multilevel"/>
    <w:tmpl w:val="F56D2DDD"/>
    <w:lvl w:ilvl="0" w:tentative="0">
      <w:start w:val="1"/>
      <w:numFmt w:val="decimal"/>
      <w:pStyle w:val="61"/>
      <w:suff w:val="nothing"/>
      <w:lvlText w:val="表%1　"/>
      <w:lvlJc w:val="center"/>
      <w:pPr>
        <w:ind w:left="2693"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FA2A16CE"/>
    <w:multiLevelType w:val="multilevel"/>
    <w:tmpl w:val="FA2A16CE"/>
    <w:lvl w:ilvl="0" w:tentative="0">
      <w:start w:val="1"/>
      <w:numFmt w:val="decimal"/>
      <w:pStyle w:val="75"/>
      <w:suff w:val="nothing"/>
      <w:lvlText w:val="图%1　"/>
      <w:lvlJc w:val="center"/>
      <w:pPr>
        <w:tabs>
          <w:tab w:val="left" w:pos="2411"/>
        </w:tabs>
        <w:ind w:left="2411"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239063F"/>
    <w:multiLevelType w:val="multilevel"/>
    <w:tmpl w:val="0239063F"/>
    <w:lvl w:ilvl="0" w:tentative="0">
      <w:start w:val="1"/>
      <w:numFmt w:val="decimal"/>
      <w:suff w:val="space"/>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52FC12B"/>
    <w:multiLevelType w:val="multilevel"/>
    <w:tmpl w:val="052FC12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4"/>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0829ABFB"/>
    <w:multiLevelType w:val="multilevel"/>
    <w:tmpl w:val="0829ABFB"/>
    <w:lvl w:ilvl="0" w:tentative="0">
      <w:start w:val="1"/>
      <w:numFmt w:val="decimal"/>
      <w:pStyle w:val="6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16A107EF"/>
    <w:multiLevelType w:val="multilevel"/>
    <w:tmpl w:val="16A107EF"/>
    <w:lvl w:ilvl="0" w:tentative="0">
      <w:start w:val="1"/>
      <w:numFmt w:val="decimal"/>
      <w:suff w:val="nothing"/>
      <w:lvlText w:val="%1 "/>
      <w:lvlJc w:val="left"/>
      <w:pPr>
        <w:tabs>
          <w:tab w:val="left" w:pos="0"/>
        </w:tabs>
        <w:ind w:left="0" w:firstLine="0"/>
      </w:pPr>
      <w:rPr>
        <w:rFonts w:hint="default" w:ascii="宋体" w:hAnsi="宋体" w:eastAsia="宋体" w:cs="宋体"/>
      </w:rPr>
    </w:lvl>
    <w:lvl w:ilvl="1" w:tentative="0">
      <w:start w:val="1"/>
      <w:numFmt w:val="decimal"/>
      <w:pStyle w:val="3"/>
      <w:suff w:val="space"/>
      <w:lvlText w:val="%2"/>
      <w:lvlJc w:val="left"/>
      <w:pPr>
        <w:tabs>
          <w:tab w:val="left" w:pos="420"/>
        </w:tabs>
        <w:ind w:left="0" w:firstLine="0"/>
      </w:pPr>
      <w:rPr>
        <w:rFonts w:hint="default"/>
        <w:sz w:val="21"/>
      </w:rPr>
    </w:lvl>
    <w:lvl w:ilvl="2" w:tentative="0">
      <w:start w:val="1"/>
      <w:numFmt w:val="decimal"/>
      <w:pStyle w:val="4"/>
      <w:suff w:val="nothing"/>
      <w:lvlText w:val="第%3子条"/>
      <w:lvlJc w:val="left"/>
      <w:pPr>
        <w:ind w:left="0" w:firstLine="400"/>
      </w:pPr>
      <w:rPr>
        <w:rFonts w:hint="default" w:ascii="宋体" w:hAnsi="宋体" w:eastAsia="宋体" w:cs="宋体"/>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5">
    <w:nsid w:val="1A075A7F"/>
    <w:multiLevelType w:val="multilevel"/>
    <w:tmpl w:val="1A075A7F"/>
    <w:lvl w:ilvl="0" w:tentative="0">
      <w:start w:val="1"/>
      <w:numFmt w:val="decimal"/>
      <w:pStyle w:val="76"/>
      <w:suff w:val="nothing"/>
      <w:lvlText w:val="表A.%1　"/>
      <w:lvlJc w:val="center"/>
      <w:pPr>
        <w:tabs>
          <w:tab w:val="left" w:pos="3260"/>
        </w:tabs>
        <w:ind w:left="3260" w:firstLine="0"/>
      </w:pPr>
      <w:rPr>
        <w:rFonts w:hint="default" w:ascii="黑体" w:hAnsi="Times New Roman" w:eastAsia="黑体"/>
        <w:b w:val="0"/>
        <w:i w:val="0"/>
        <w:sz w:val="21"/>
        <w:szCs w:val="21"/>
      </w:rPr>
    </w:lvl>
    <w:lvl w:ilvl="1" w:tentative="0">
      <w:start w:val="1"/>
      <w:numFmt w:val="decimal"/>
      <w:suff w:val="nothing"/>
      <w:lvlText w:val="表A.%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490D8A0E"/>
    <w:multiLevelType w:val="singleLevel"/>
    <w:tmpl w:val="490D8A0E"/>
    <w:lvl w:ilvl="0" w:tentative="0">
      <w:start w:val="1"/>
      <w:numFmt w:val="decimal"/>
      <w:pStyle w:val="87"/>
      <w:lvlText w:val="D.%1"/>
      <w:lvlJc w:val="left"/>
      <w:pPr>
        <w:tabs>
          <w:tab w:val="left" w:pos="420"/>
        </w:tabs>
        <w:ind w:left="425" w:hanging="425"/>
      </w:pPr>
      <w:rPr>
        <w:rFonts w:hint="default"/>
      </w:rPr>
    </w:lvl>
  </w:abstractNum>
  <w:abstractNum w:abstractNumId="17">
    <w:nsid w:val="4C2B5E22"/>
    <w:multiLevelType w:val="multilevel"/>
    <w:tmpl w:val="4C2B5E22"/>
    <w:lvl w:ilvl="0" w:tentative="0">
      <w:start w:val="1"/>
      <w:numFmt w:val="decimal"/>
      <w:pStyle w:val="80"/>
      <w:suff w:val="nothing"/>
      <w:lvlText w:val="表E.%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1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3B0EFF"/>
    <w:multiLevelType w:val="multilevel"/>
    <w:tmpl w:val="563B0EFF"/>
    <w:lvl w:ilvl="0" w:tentative="0">
      <w:start w:val="1"/>
      <w:numFmt w:val="decimal"/>
      <w:pStyle w:val="55"/>
      <w:suff w:val="nothing"/>
      <w:lvlText w:val="%1.　"/>
      <w:lvlJc w:val="left"/>
      <w:pPr>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567D0A63"/>
    <w:multiLevelType w:val="multilevel"/>
    <w:tmpl w:val="567D0A63"/>
    <w:lvl w:ilvl="0" w:tentative="0">
      <w:start w:val="1"/>
      <w:numFmt w:val="decimal"/>
      <w:pStyle w:val="107"/>
      <w:suff w:val="nothing"/>
      <w:lvlText w:val="表F.%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5D43626C"/>
    <w:multiLevelType w:val="singleLevel"/>
    <w:tmpl w:val="5D43626C"/>
    <w:lvl w:ilvl="0" w:tentative="0">
      <w:start w:val="1"/>
      <w:numFmt w:val="decimal"/>
      <w:pStyle w:val="86"/>
      <w:lvlText w:val="B.%1"/>
      <w:lvlJc w:val="left"/>
      <w:pPr>
        <w:tabs>
          <w:tab w:val="left" w:pos="420"/>
        </w:tabs>
        <w:ind w:left="425" w:hanging="425"/>
      </w:pPr>
      <w:rPr>
        <w:rFonts w:hint="default"/>
      </w:rPr>
    </w:lvl>
  </w:abstractNum>
  <w:abstractNum w:abstractNumId="22">
    <w:nsid w:val="6730F1E7"/>
    <w:multiLevelType w:val="multilevel"/>
    <w:tmpl w:val="6730F1E7"/>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12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15"/>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F7C0F19"/>
    <w:multiLevelType w:val="multilevel"/>
    <w:tmpl w:val="6F7C0F19"/>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8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78B51FAC"/>
    <w:multiLevelType w:val="singleLevel"/>
    <w:tmpl w:val="78B51FAC"/>
    <w:lvl w:ilvl="0" w:tentative="0">
      <w:start w:val="1"/>
      <w:numFmt w:val="decimal"/>
      <w:pStyle w:val="105"/>
      <w:lvlText w:val="E.%1"/>
      <w:lvlJc w:val="left"/>
      <w:pPr>
        <w:tabs>
          <w:tab w:val="left" w:pos="420"/>
        </w:tabs>
        <w:ind w:left="425" w:hanging="425"/>
      </w:pPr>
      <w:rPr>
        <w:rFonts w:hint="default"/>
      </w:rPr>
    </w:lvl>
  </w:abstractNum>
  <w:num w:numId="1">
    <w:abstractNumId w:val="14"/>
  </w:num>
  <w:num w:numId="2">
    <w:abstractNumId w:val="19"/>
  </w:num>
  <w:num w:numId="3">
    <w:abstractNumId w:val="8"/>
  </w:num>
  <w:num w:numId="4">
    <w:abstractNumId w:val="9"/>
  </w:num>
  <w:num w:numId="5">
    <w:abstractNumId w:val="13"/>
  </w:num>
  <w:num w:numId="6">
    <w:abstractNumId w:val="4"/>
  </w:num>
  <w:num w:numId="7">
    <w:abstractNumId w:val="0"/>
  </w:num>
  <w:num w:numId="8">
    <w:abstractNumId w:val="11"/>
  </w:num>
  <w:num w:numId="9">
    <w:abstractNumId w:val="10"/>
  </w:num>
  <w:num w:numId="10">
    <w:abstractNumId w:val="15"/>
  </w:num>
  <w:num w:numId="11">
    <w:abstractNumId w:val="5"/>
  </w:num>
  <w:num w:numId="12">
    <w:abstractNumId w:val="7"/>
  </w:num>
  <w:num w:numId="13">
    <w:abstractNumId w:val="6"/>
  </w:num>
  <w:num w:numId="14">
    <w:abstractNumId w:val="17"/>
  </w:num>
  <w:num w:numId="15">
    <w:abstractNumId w:val="23"/>
  </w:num>
  <w:num w:numId="16">
    <w:abstractNumId w:val="2"/>
  </w:num>
  <w:num w:numId="17">
    <w:abstractNumId w:val="12"/>
  </w:num>
  <w:num w:numId="18">
    <w:abstractNumId w:val="1"/>
  </w:num>
  <w:num w:numId="19">
    <w:abstractNumId w:val="21"/>
  </w:num>
  <w:num w:numId="20">
    <w:abstractNumId w:val="16"/>
  </w:num>
  <w:num w:numId="21">
    <w:abstractNumId w:val="3"/>
  </w:num>
  <w:num w:numId="22">
    <w:abstractNumId w:val="24"/>
  </w:num>
  <w:num w:numId="23">
    <w:abstractNumId w:val="20"/>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oNotShadeFormData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OWE1NmM4NGUwMjY4YjA3MWY0NGZlODI3MGRkZDYifQ=="/>
  </w:docVars>
  <w:rsids>
    <w:rsidRoot w:val="00AF5CBD"/>
    <w:rsid w:val="00000512"/>
    <w:rsid w:val="00001D81"/>
    <w:rsid w:val="0000272F"/>
    <w:rsid w:val="00003DD4"/>
    <w:rsid w:val="00004C25"/>
    <w:rsid w:val="00005245"/>
    <w:rsid w:val="0000600D"/>
    <w:rsid w:val="00007B00"/>
    <w:rsid w:val="00011302"/>
    <w:rsid w:val="00013888"/>
    <w:rsid w:val="000145DE"/>
    <w:rsid w:val="00016505"/>
    <w:rsid w:val="000175D5"/>
    <w:rsid w:val="00022058"/>
    <w:rsid w:val="000240DA"/>
    <w:rsid w:val="00031E9C"/>
    <w:rsid w:val="00034604"/>
    <w:rsid w:val="000356EE"/>
    <w:rsid w:val="000367A1"/>
    <w:rsid w:val="00040CE1"/>
    <w:rsid w:val="00040DF6"/>
    <w:rsid w:val="000413FB"/>
    <w:rsid w:val="00045515"/>
    <w:rsid w:val="000542EF"/>
    <w:rsid w:val="000612D3"/>
    <w:rsid w:val="00064F2B"/>
    <w:rsid w:val="00067C6D"/>
    <w:rsid w:val="00070AF8"/>
    <w:rsid w:val="00076944"/>
    <w:rsid w:val="00080ED2"/>
    <w:rsid w:val="00085D0B"/>
    <w:rsid w:val="0009038B"/>
    <w:rsid w:val="000905EE"/>
    <w:rsid w:val="000A077D"/>
    <w:rsid w:val="000A677F"/>
    <w:rsid w:val="000B2F08"/>
    <w:rsid w:val="000C2DEA"/>
    <w:rsid w:val="000C549D"/>
    <w:rsid w:val="000D0547"/>
    <w:rsid w:val="000D19B8"/>
    <w:rsid w:val="000D4817"/>
    <w:rsid w:val="000E2884"/>
    <w:rsid w:val="000E7545"/>
    <w:rsid w:val="000E7D1F"/>
    <w:rsid w:val="000F21BC"/>
    <w:rsid w:val="000F29FE"/>
    <w:rsid w:val="000F31C8"/>
    <w:rsid w:val="001042F0"/>
    <w:rsid w:val="00106A4E"/>
    <w:rsid w:val="00110079"/>
    <w:rsid w:val="00110A70"/>
    <w:rsid w:val="0012195B"/>
    <w:rsid w:val="00127C40"/>
    <w:rsid w:val="00127DAB"/>
    <w:rsid w:val="001402DD"/>
    <w:rsid w:val="001525FD"/>
    <w:rsid w:val="00152DF7"/>
    <w:rsid w:val="00165DAA"/>
    <w:rsid w:val="001714C7"/>
    <w:rsid w:val="00175256"/>
    <w:rsid w:val="00190728"/>
    <w:rsid w:val="00197D07"/>
    <w:rsid w:val="001A1444"/>
    <w:rsid w:val="001A3F48"/>
    <w:rsid w:val="001A5ACE"/>
    <w:rsid w:val="001B2252"/>
    <w:rsid w:val="001B5441"/>
    <w:rsid w:val="001B7473"/>
    <w:rsid w:val="001C1E9F"/>
    <w:rsid w:val="001C3C60"/>
    <w:rsid w:val="001D1D48"/>
    <w:rsid w:val="001D4E17"/>
    <w:rsid w:val="001D51C7"/>
    <w:rsid w:val="001E1103"/>
    <w:rsid w:val="001E32B5"/>
    <w:rsid w:val="001F22E6"/>
    <w:rsid w:val="001F6252"/>
    <w:rsid w:val="0020109B"/>
    <w:rsid w:val="00204CD1"/>
    <w:rsid w:val="00204CED"/>
    <w:rsid w:val="00210FBE"/>
    <w:rsid w:val="00221A70"/>
    <w:rsid w:val="002258E3"/>
    <w:rsid w:val="00226089"/>
    <w:rsid w:val="002407D5"/>
    <w:rsid w:val="00240E4A"/>
    <w:rsid w:val="0024122A"/>
    <w:rsid w:val="00241678"/>
    <w:rsid w:val="00241EF1"/>
    <w:rsid w:val="00244B1B"/>
    <w:rsid w:val="002522F5"/>
    <w:rsid w:val="002620D9"/>
    <w:rsid w:val="0026274D"/>
    <w:rsid w:val="00266566"/>
    <w:rsid w:val="00274CA3"/>
    <w:rsid w:val="002776D9"/>
    <w:rsid w:val="002777F8"/>
    <w:rsid w:val="00284A4D"/>
    <w:rsid w:val="00285085"/>
    <w:rsid w:val="00285906"/>
    <w:rsid w:val="00295907"/>
    <w:rsid w:val="002A2DD0"/>
    <w:rsid w:val="002A3098"/>
    <w:rsid w:val="002A5D16"/>
    <w:rsid w:val="002A6712"/>
    <w:rsid w:val="002A7BE1"/>
    <w:rsid w:val="002B5FD0"/>
    <w:rsid w:val="002C33D3"/>
    <w:rsid w:val="002C5BD8"/>
    <w:rsid w:val="002D4C91"/>
    <w:rsid w:val="002E3B1D"/>
    <w:rsid w:val="002E484D"/>
    <w:rsid w:val="002F1718"/>
    <w:rsid w:val="002F38EF"/>
    <w:rsid w:val="002F66DF"/>
    <w:rsid w:val="00301630"/>
    <w:rsid w:val="00306B49"/>
    <w:rsid w:val="00307704"/>
    <w:rsid w:val="003130C5"/>
    <w:rsid w:val="00315A68"/>
    <w:rsid w:val="003269E9"/>
    <w:rsid w:val="00330E3F"/>
    <w:rsid w:val="0033229D"/>
    <w:rsid w:val="003338F4"/>
    <w:rsid w:val="00336402"/>
    <w:rsid w:val="00340D05"/>
    <w:rsid w:val="00341CEE"/>
    <w:rsid w:val="00353395"/>
    <w:rsid w:val="0035381E"/>
    <w:rsid w:val="00375AC6"/>
    <w:rsid w:val="00376F44"/>
    <w:rsid w:val="003815E6"/>
    <w:rsid w:val="00396FEF"/>
    <w:rsid w:val="003A038A"/>
    <w:rsid w:val="003A4800"/>
    <w:rsid w:val="003A751F"/>
    <w:rsid w:val="003B2A6D"/>
    <w:rsid w:val="003B423A"/>
    <w:rsid w:val="003D394A"/>
    <w:rsid w:val="003D583E"/>
    <w:rsid w:val="003E4258"/>
    <w:rsid w:val="003E7063"/>
    <w:rsid w:val="003F053B"/>
    <w:rsid w:val="003F659C"/>
    <w:rsid w:val="003F6A79"/>
    <w:rsid w:val="00400862"/>
    <w:rsid w:val="0040668D"/>
    <w:rsid w:val="00410EB8"/>
    <w:rsid w:val="00415DE0"/>
    <w:rsid w:val="004164A3"/>
    <w:rsid w:val="00426036"/>
    <w:rsid w:val="00430139"/>
    <w:rsid w:val="004346C2"/>
    <w:rsid w:val="004366CE"/>
    <w:rsid w:val="00440537"/>
    <w:rsid w:val="004462F9"/>
    <w:rsid w:val="00451341"/>
    <w:rsid w:val="00452CF7"/>
    <w:rsid w:val="00453961"/>
    <w:rsid w:val="00454A9A"/>
    <w:rsid w:val="00455E11"/>
    <w:rsid w:val="00456D20"/>
    <w:rsid w:val="00463D18"/>
    <w:rsid w:val="00465758"/>
    <w:rsid w:val="00465851"/>
    <w:rsid w:val="00471BB8"/>
    <w:rsid w:val="00471D0B"/>
    <w:rsid w:val="004758F5"/>
    <w:rsid w:val="004761B1"/>
    <w:rsid w:val="00480CE7"/>
    <w:rsid w:val="0048695A"/>
    <w:rsid w:val="00493C88"/>
    <w:rsid w:val="004969D8"/>
    <w:rsid w:val="004A064B"/>
    <w:rsid w:val="004A25B4"/>
    <w:rsid w:val="004A69F5"/>
    <w:rsid w:val="004B3719"/>
    <w:rsid w:val="004B6B41"/>
    <w:rsid w:val="004B7011"/>
    <w:rsid w:val="004C6000"/>
    <w:rsid w:val="004C6954"/>
    <w:rsid w:val="004C696C"/>
    <w:rsid w:val="004D423D"/>
    <w:rsid w:val="004D6EE5"/>
    <w:rsid w:val="004E3241"/>
    <w:rsid w:val="004E4EC1"/>
    <w:rsid w:val="004E5D3F"/>
    <w:rsid w:val="004F15D9"/>
    <w:rsid w:val="005001DD"/>
    <w:rsid w:val="00501F32"/>
    <w:rsid w:val="00505338"/>
    <w:rsid w:val="00513C96"/>
    <w:rsid w:val="005142FA"/>
    <w:rsid w:val="0052144D"/>
    <w:rsid w:val="005301EA"/>
    <w:rsid w:val="005310FC"/>
    <w:rsid w:val="00531E02"/>
    <w:rsid w:val="00532603"/>
    <w:rsid w:val="00533DD6"/>
    <w:rsid w:val="00536D1A"/>
    <w:rsid w:val="00555FA9"/>
    <w:rsid w:val="00561A0A"/>
    <w:rsid w:val="00566340"/>
    <w:rsid w:val="00573C66"/>
    <w:rsid w:val="0057661F"/>
    <w:rsid w:val="005836DF"/>
    <w:rsid w:val="005A351C"/>
    <w:rsid w:val="005A6E24"/>
    <w:rsid w:val="005B1677"/>
    <w:rsid w:val="005B3186"/>
    <w:rsid w:val="005C32B2"/>
    <w:rsid w:val="005C4A41"/>
    <w:rsid w:val="005C66C4"/>
    <w:rsid w:val="005C6AB5"/>
    <w:rsid w:val="005D02F1"/>
    <w:rsid w:val="005D0DF8"/>
    <w:rsid w:val="005D1C07"/>
    <w:rsid w:val="005D1DB8"/>
    <w:rsid w:val="005D29C9"/>
    <w:rsid w:val="005D3AA9"/>
    <w:rsid w:val="005D458D"/>
    <w:rsid w:val="005D5081"/>
    <w:rsid w:val="005E2672"/>
    <w:rsid w:val="005F0BFB"/>
    <w:rsid w:val="006058BD"/>
    <w:rsid w:val="00605BFE"/>
    <w:rsid w:val="00606B8E"/>
    <w:rsid w:val="00620F90"/>
    <w:rsid w:val="00621D57"/>
    <w:rsid w:val="006231A3"/>
    <w:rsid w:val="006233B8"/>
    <w:rsid w:val="0062670A"/>
    <w:rsid w:val="00632ECB"/>
    <w:rsid w:val="00637C18"/>
    <w:rsid w:val="00644800"/>
    <w:rsid w:val="00663482"/>
    <w:rsid w:val="0066587F"/>
    <w:rsid w:val="00665DC8"/>
    <w:rsid w:val="006714DB"/>
    <w:rsid w:val="00676BC2"/>
    <w:rsid w:val="00677BA9"/>
    <w:rsid w:val="00681812"/>
    <w:rsid w:val="006835F5"/>
    <w:rsid w:val="006906EA"/>
    <w:rsid w:val="0069466D"/>
    <w:rsid w:val="00695AF0"/>
    <w:rsid w:val="006A49B1"/>
    <w:rsid w:val="006A5F39"/>
    <w:rsid w:val="006A7B03"/>
    <w:rsid w:val="006B0252"/>
    <w:rsid w:val="006B5E04"/>
    <w:rsid w:val="006B6C0B"/>
    <w:rsid w:val="006C01BD"/>
    <w:rsid w:val="006C5D81"/>
    <w:rsid w:val="006D2B10"/>
    <w:rsid w:val="006D50D0"/>
    <w:rsid w:val="006E13F9"/>
    <w:rsid w:val="006E1D17"/>
    <w:rsid w:val="006E3B37"/>
    <w:rsid w:val="006E4591"/>
    <w:rsid w:val="006E7555"/>
    <w:rsid w:val="006F265B"/>
    <w:rsid w:val="006F4A1E"/>
    <w:rsid w:val="006F67C0"/>
    <w:rsid w:val="007024C4"/>
    <w:rsid w:val="00704A2C"/>
    <w:rsid w:val="00710BA1"/>
    <w:rsid w:val="00711368"/>
    <w:rsid w:val="00715513"/>
    <w:rsid w:val="0071784D"/>
    <w:rsid w:val="00721268"/>
    <w:rsid w:val="007258FC"/>
    <w:rsid w:val="0072771C"/>
    <w:rsid w:val="00731A08"/>
    <w:rsid w:val="00732259"/>
    <w:rsid w:val="00733346"/>
    <w:rsid w:val="00734AB9"/>
    <w:rsid w:val="0073630D"/>
    <w:rsid w:val="00736A8C"/>
    <w:rsid w:val="00741BBD"/>
    <w:rsid w:val="0074377F"/>
    <w:rsid w:val="0074460B"/>
    <w:rsid w:val="00746CCD"/>
    <w:rsid w:val="00747ACE"/>
    <w:rsid w:val="0075148B"/>
    <w:rsid w:val="00751ACA"/>
    <w:rsid w:val="00754C9E"/>
    <w:rsid w:val="007639A2"/>
    <w:rsid w:val="00766BF6"/>
    <w:rsid w:val="007736AF"/>
    <w:rsid w:val="00774209"/>
    <w:rsid w:val="0078044B"/>
    <w:rsid w:val="00792BAF"/>
    <w:rsid w:val="0079326A"/>
    <w:rsid w:val="007A2824"/>
    <w:rsid w:val="007A589F"/>
    <w:rsid w:val="007A69D8"/>
    <w:rsid w:val="007B44CE"/>
    <w:rsid w:val="007D0BED"/>
    <w:rsid w:val="007D7484"/>
    <w:rsid w:val="007E460C"/>
    <w:rsid w:val="007F1C56"/>
    <w:rsid w:val="007F2800"/>
    <w:rsid w:val="007F43C1"/>
    <w:rsid w:val="00801707"/>
    <w:rsid w:val="00804B09"/>
    <w:rsid w:val="00807CA4"/>
    <w:rsid w:val="00813095"/>
    <w:rsid w:val="00813488"/>
    <w:rsid w:val="0082138C"/>
    <w:rsid w:val="00823320"/>
    <w:rsid w:val="00827BEB"/>
    <w:rsid w:val="008362E3"/>
    <w:rsid w:val="00842BC1"/>
    <w:rsid w:val="00845E95"/>
    <w:rsid w:val="00850995"/>
    <w:rsid w:val="00853E97"/>
    <w:rsid w:val="00862ADA"/>
    <w:rsid w:val="00872419"/>
    <w:rsid w:val="0087273A"/>
    <w:rsid w:val="008743B6"/>
    <w:rsid w:val="00884A1E"/>
    <w:rsid w:val="008865BA"/>
    <w:rsid w:val="008900B0"/>
    <w:rsid w:val="008907DB"/>
    <w:rsid w:val="00897CE7"/>
    <w:rsid w:val="008A2543"/>
    <w:rsid w:val="008A6F20"/>
    <w:rsid w:val="008B1364"/>
    <w:rsid w:val="008B1D15"/>
    <w:rsid w:val="008B6957"/>
    <w:rsid w:val="008C0158"/>
    <w:rsid w:val="008C11E0"/>
    <w:rsid w:val="008C3069"/>
    <w:rsid w:val="008D0E89"/>
    <w:rsid w:val="008D3004"/>
    <w:rsid w:val="008D318F"/>
    <w:rsid w:val="008D4080"/>
    <w:rsid w:val="008D5656"/>
    <w:rsid w:val="008D6131"/>
    <w:rsid w:val="008E2BA9"/>
    <w:rsid w:val="008E7F37"/>
    <w:rsid w:val="008F0E2C"/>
    <w:rsid w:val="008F5D24"/>
    <w:rsid w:val="009037A1"/>
    <w:rsid w:val="00904025"/>
    <w:rsid w:val="009053F5"/>
    <w:rsid w:val="00910337"/>
    <w:rsid w:val="009213F3"/>
    <w:rsid w:val="00922288"/>
    <w:rsid w:val="00922519"/>
    <w:rsid w:val="00924F8B"/>
    <w:rsid w:val="009351D9"/>
    <w:rsid w:val="009467F7"/>
    <w:rsid w:val="00950853"/>
    <w:rsid w:val="00961554"/>
    <w:rsid w:val="0096564B"/>
    <w:rsid w:val="009714BF"/>
    <w:rsid w:val="009751F6"/>
    <w:rsid w:val="00975C39"/>
    <w:rsid w:val="00976D85"/>
    <w:rsid w:val="00981B1E"/>
    <w:rsid w:val="0098603D"/>
    <w:rsid w:val="0098712C"/>
    <w:rsid w:val="009935F0"/>
    <w:rsid w:val="009958F5"/>
    <w:rsid w:val="00995B8B"/>
    <w:rsid w:val="009968E1"/>
    <w:rsid w:val="009A3A5F"/>
    <w:rsid w:val="009A5857"/>
    <w:rsid w:val="009B0660"/>
    <w:rsid w:val="009B25BB"/>
    <w:rsid w:val="009B3AC5"/>
    <w:rsid w:val="009B7D45"/>
    <w:rsid w:val="009C0E59"/>
    <w:rsid w:val="009C0EA6"/>
    <w:rsid w:val="009C52ED"/>
    <w:rsid w:val="009C60AD"/>
    <w:rsid w:val="009D0CC1"/>
    <w:rsid w:val="009D0D20"/>
    <w:rsid w:val="009D2427"/>
    <w:rsid w:val="009D617A"/>
    <w:rsid w:val="009E7F9C"/>
    <w:rsid w:val="009F03C1"/>
    <w:rsid w:val="009F2138"/>
    <w:rsid w:val="009F2485"/>
    <w:rsid w:val="009F4571"/>
    <w:rsid w:val="00A0512E"/>
    <w:rsid w:val="00A07FCE"/>
    <w:rsid w:val="00A13E04"/>
    <w:rsid w:val="00A24BA2"/>
    <w:rsid w:val="00A25259"/>
    <w:rsid w:val="00A27F9E"/>
    <w:rsid w:val="00A32E5F"/>
    <w:rsid w:val="00A3644E"/>
    <w:rsid w:val="00A44BE2"/>
    <w:rsid w:val="00A50C64"/>
    <w:rsid w:val="00A6150B"/>
    <w:rsid w:val="00A65E90"/>
    <w:rsid w:val="00A707E2"/>
    <w:rsid w:val="00A7460B"/>
    <w:rsid w:val="00A85EF7"/>
    <w:rsid w:val="00A862D6"/>
    <w:rsid w:val="00A8639F"/>
    <w:rsid w:val="00A91908"/>
    <w:rsid w:val="00A93459"/>
    <w:rsid w:val="00A937BD"/>
    <w:rsid w:val="00A97C9C"/>
    <w:rsid w:val="00AB1519"/>
    <w:rsid w:val="00AB16C9"/>
    <w:rsid w:val="00AB460A"/>
    <w:rsid w:val="00AB6D90"/>
    <w:rsid w:val="00AB7479"/>
    <w:rsid w:val="00AC174B"/>
    <w:rsid w:val="00AC22A1"/>
    <w:rsid w:val="00AC2FA5"/>
    <w:rsid w:val="00AC39D9"/>
    <w:rsid w:val="00AC39E2"/>
    <w:rsid w:val="00AC479D"/>
    <w:rsid w:val="00AC4EC9"/>
    <w:rsid w:val="00AD62DC"/>
    <w:rsid w:val="00AD7A2E"/>
    <w:rsid w:val="00AE1B0D"/>
    <w:rsid w:val="00AE3A75"/>
    <w:rsid w:val="00AF58D3"/>
    <w:rsid w:val="00AF5CBD"/>
    <w:rsid w:val="00AF70B9"/>
    <w:rsid w:val="00B002B9"/>
    <w:rsid w:val="00B01E2B"/>
    <w:rsid w:val="00B03DA4"/>
    <w:rsid w:val="00B04C70"/>
    <w:rsid w:val="00B07B48"/>
    <w:rsid w:val="00B13346"/>
    <w:rsid w:val="00B20AA2"/>
    <w:rsid w:val="00B22FDC"/>
    <w:rsid w:val="00B3077A"/>
    <w:rsid w:val="00B32ADC"/>
    <w:rsid w:val="00B36AD3"/>
    <w:rsid w:val="00B502EE"/>
    <w:rsid w:val="00B57F30"/>
    <w:rsid w:val="00B60899"/>
    <w:rsid w:val="00B61C94"/>
    <w:rsid w:val="00B62FD2"/>
    <w:rsid w:val="00B62FEF"/>
    <w:rsid w:val="00B63AFE"/>
    <w:rsid w:val="00B63E47"/>
    <w:rsid w:val="00B667B0"/>
    <w:rsid w:val="00B67033"/>
    <w:rsid w:val="00B67BC1"/>
    <w:rsid w:val="00B75F26"/>
    <w:rsid w:val="00B81309"/>
    <w:rsid w:val="00B835BD"/>
    <w:rsid w:val="00B8651F"/>
    <w:rsid w:val="00BA7B1C"/>
    <w:rsid w:val="00BB0F58"/>
    <w:rsid w:val="00BB360B"/>
    <w:rsid w:val="00BB7018"/>
    <w:rsid w:val="00BC7B89"/>
    <w:rsid w:val="00BD25C5"/>
    <w:rsid w:val="00BD3720"/>
    <w:rsid w:val="00BE3AC1"/>
    <w:rsid w:val="00BF73D3"/>
    <w:rsid w:val="00BF74D5"/>
    <w:rsid w:val="00C04100"/>
    <w:rsid w:val="00C05C61"/>
    <w:rsid w:val="00C06EF4"/>
    <w:rsid w:val="00C078F8"/>
    <w:rsid w:val="00C17456"/>
    <w:rsid w:val="00C214FD"/>
    <w:rsid w:val="00C25330"/>
    <w:rsid w:val="00C25647"/>
    <w:rsid w:val="00C258BF"/>
    <w:rsid w:val="00C27012"/>
    <w:rsid w:val="00C3159F"/>
    <w:rsid w:val="00C3530C"/>
    <w:rsid w:val="00C37D14"/>
    <w:rsid w:val="00C445BC"/>
    <w:rsid w:val="00C453DF"/>
    <w:rsid w:val="00C52B46"/>
    <w:rsid w:val="00C53F32"/>
    <w:rsid w:val="00C5442A"/>
    <w:rsid w:val="00C54768"/>
    <w:rsid w:val="00C5516F"/>
    <w:rsid w:val="00C644DF"/>
    <w:rsid w:val="00C70E9B"/>
    <w:rsid w:val="00C71C1E"/>
    <w:rsid w:val="00C72203"/>
    <w:rsid w:val="00C77DC8"/>
    <w:rsid w:val="00C8094B"/>
    <w:rsid w:val="00C81BD1"/>
    <w:rsid w:val="00C84048"/>
    <w:rsid w:val="00C8411B"/>
    <w:rsid w:val="00C8768C"/>
    <w:rsid w:val="00C91C58"/>
    <w:rsid w:val="00C941CE"/>
    <w:rsid w:val="00C949E4"/>
    <w:rsid w:val="00CA04E0"/>
    <w:rsid w:val="00CA5973"/>
    <w:rsid w:val="00CA7146"/>
    <w:rsid w:val="00CB0CE3"/>
    <w:rsid w:val="00CC20FF"/>
    <w:rsid w:val="00CC2798"/>
    <w:rsid w:val="00CC54FF"/>
    <w:rsid w:val="00CC6A95"/>
    <w:rsid w:val="00CD17A8"/>
    <w:rsid w:val="00CD46BC"/>
    <w:rsid w:val="00CD5C41"/>
    <w:rsid w:val="00CE2C79"/>
    <w:rsid w:val="00CE2D09"/>
    <w:rsid w:val="00CE53AF"/>
    <w:rsid w:val="00CF2479"/>
    <w:rsid w:val="00CF355E"/>
    <w:rsid w:val="00D0367F"/>
    <w:rsid w:val="00D045AA"/>
    <w:rsid w:val="00D14636"/>
    <w:rsid w:val="00D159CC"/>
    <w:rsid w:val="00D17ACD"/>
    <w:rsid w:val="00D31D18"/>
    <w:rsid w:val="00D31F26"/>
    <w:rsid w:val="00D35FF6"/>
    <w:rsid w:val="00D401FA"/>
    <w:rsid w:val="00D416BF"/>
    <w:rsid w:val="00D42DC9"/>
    <w:rsid w:val="00D4627A"/>
    <w:rsid w:val="00D5462A"/>
    <w:rsid w:val="00D6025B"/>
    <w:rsid w:val="00D72535"/>
    <w:rsid w:val="00D74FA9"/>
    <w:rsid w:val="00D87D96"/>
    <w:rsid w:val="00D87FCE"/>
    <w:rsid w:val="00D9071D"/>
    <w:rsid w:val="00D9318E"/>
    <w:rsid w:val="00DA1218"/>
    <w:rsid w:val="00DA222F"/>
    <w:rsid w:val="00DA5CC7"/>
    <w:rsid w:val="00DA7841"/>
    <w:rsid w:val="00DB0E5C"/>
    <w:rsid w:val="00DB213C"/>
    <w:rsid w:val="00DB4E68"/>
    <w:rsid w:val="00DC0187"/>
    <w:rsid w:val="00DC1741"/>
    <w:rsid w:val="00DD0A00"/>
    <w:rsid w:val="00DD333E"/>
    <w:rsid w:val="00DF0BE4"/>
    <w:rsid w:val="00DF23E7"/>
    <w:rsid w:val="00E00209"/>
    <w:rsid w:val="00E022D6"/>
    <w:rsid w:val="00E11B2D"/>
    <w:rsid w:val="00E152A9"/>
    <w:rsid w:val="00E23BAC"/>
    <w:rsid w:val="00E23DB0"/>
    <w:rsid w:val="00E24198"/>
    <w:rsid w:val="00E25E17"/>
    <w:rsid w:val="00E26016"/>
    <w:rsid w:val="00E31014"/>
    <w:rsid w:val="00E37F40"/>
    <w:rsid w:val="00E429AA"/>
    <w:rsid w:val="00E466B3"/>
    <w:rsid w:val="00E52E6E"/>
    <w:rsid w:val="00E61D4F"/>
    <w:rsid w:val="00E63DA2"/>
    <w:rsid w:val="00E65FB6"/>
    <w:rsid w:val="00E66B5B"/>
    <w:rsid w:val="00E74437"/>
    <w:rsid w:val="00E74D84"/>
    <w:rsid w:val="00E75ED0"/>
    <w:rsid w:val="00E7696C"/>
    <w:rsid w:val="00E833E0"/>
    <w:rsid w:val="00E853B7"/>
    <w:rsid w:val="00E9283A"/>
    <w:rsid w:val="00E97A96"/>
    <w:rsid w:val="00EA2469"/>
    <w:rsid w:val="00EA72B8"/>
    <w:rsid w:val="00EA7A7A"/>
    <w:rsid w:val="00EB16B6"/>
    <w:rsid w:val="00EB2DC9"/>
    <w:rsid w:val="00EB452C"/>
    <w:rsid w:val="00EB65F1"/>
    <w:rsid w:val="00EB7434"/>
    <w:rsid w:val="00EC3528"/>
    <w:rsid w:val="00EC37E9"/>
    <w:rsid w:val="00EC6F2A"/>
    <w:rsid w:val="00ED24F7"/>
    <w:rsid w:val="00ED4362"/>
    <w:rsid w:val="00ED53FF"/>
    <w:rsid w:val="00ED5BE7"/>
    <w:rsid w:val="00ED70C6"/>
    <w:rsid w:val="00EE18DB"/>
    <w:rsid w:val="00EE2849"/>
    <w:rsid w:val="00EE2966"/>
    <w:rsid w:val="00EE336A"/>
    <w:rsid w:val="00EE4A9C"/>
    <w:rsid w:val="00EE65F2"/>
    <w:rsid w:val="00EF42F6"/>
    <w:rsid w:val="00EF48BB"/>
    <w:rsid w:val="00EF4B53"/>
    <w:rsid w:val="00EF695D"/>
    <w:rsid w:val="00EF76A5"/>
    <w:rsid w:val="00F025E2"/>
    <w:rsid w:val="00F03503"/>
    <w:rsid w:val="00F044DA"/>
    <w:rsid w:val="00F06F0B"/>
    <w:rsid w:val="00F12D16"/>
    <w:rsid w:val="00F160C2"/>
    <w:rsid w:val="00F32289"/>
    <w:rsid w:val="00F337FE"/>
    <w:rsid w:val="00F37306"/>
    <w:rsid w:val="00F416F2"/>
    <w:rsid w:val="00F4664A"/>
    <w:rsid w:val="00F516BB"/>
    <w:rsid w:val="00F61C51"/>
    <w:rsid w:val="00F71DA1"/>
    <w:rsid w:val="00F748DA"/>
    <w:rsid w:val="00F772C5"/>
    <w:rsid w:val="00F833D6"/>
    <w:rsid w:val="00F95803"/>
    <w:rsid w:val="00F9643C"/>
    <w:rsid w:val="00FA0675"/>
    <w:rsid w:val="00FA1162"/>
    <w:rsid w:val="00FA34C7"/>
    <w:rsid w:val="00FA390C"/>
    <w:rsid w:val="00FA61DB"/>
    <w:rsid w:val="00FB41B1"/>
    <w:rsid w:val="00FB4E1F"/>
    <w:rsid w:val="00FB7B80"/>
    <w:rsid w:val="00FC110C"/>
    <w:rsid w:val="00FC2ECA"/>
    <w:rsid w:val="00FD04FE"/>
    <w:rsid w:val="00FD2F73"/>
    <w:rsid w:val="00FD3A16"/>
    <w:rsid w:val="00FF0978"/>
    <w:rsid w:val="00FF1089"/>
    <w:rsid w:val="00FF1A2E"/>
    <w:rsid w:val="00FF2082"/>
    <w:rsid w:val="00FF6F2C"/>
    <w:rsid w:val="01025932"/>
    <w:rsid w:val="01291118"/>
    <w:rsid w:val="013A4942"/>
    <w:rsid w:val="01982547"/>
    <w:rsid w:val="01E40F90"/>
    <w:rsid w:val="01FF5A80"/>
    <w:rsid w:val="0203505F"/>
    <w:rsid w:val="020E07A5"/>
    <w:rsid w:val="021743AE"/>
    <w:rsid w:val="026138B3"/>
    <w:rsid w:val="02645822"/>
    <w:rsid w:val="02A80AF3"/>
    <w:rsid w:val="02AD361F"/>
    <w:rsid w:val="02BF584D"/>
    <w:rsid w:val="02E42DB9"/>
    <w:rsid w:val="030E4801"/>
    <w:rsid w:val="031B5935"/>
    <w:rsid w:val="0328714A"/>
    <w:rsid w:val="036779CC"/>
    <w:rsid w:val="038D29D8"/>
    <w:rsid w:val="03A744C4"/>
    <w:rsid w:val="03B629A7"/>
    <w:rsid w:val="03C900A1"/>
    <w:rsid w:val="03EC25B0"/>
    <w:rsid w:val="03F60FF6"/>
    <w:rsid w:val="041A7AC8"/>
    <w:rsid w:val="045D496D"/>
    <w:rsid w:val="047168CE"/>
    <w:rsid w:val="04730C2E"/>
    <w:rsid w:val="04754611"/>
    <w:rsid w:val="047F4B94"/>
    <w:rsid w:val="0490765E"/>
    <w:rsid w:val="04F43DEF"/>
    <w:rsid w:val="05174061"/>
    <w:rsid w:val="054C45FD"/>
    <w:rsid w:val="05F41565"/>
    <w:rsid w:val="05F81055"/>
    <w:rsid w:val="06054703"/>
    <w:rsid w:val="0624508C"/>
    <w:rsid w:val="069D5AB3"/>
    <w:rsid w:val="06AC1920"/>
    <w:rsid w:val="06F414BC"/>
    <w:rsid w:val="072173A6"/>
    <w:rsid w:val="07733F1B"/>
    <w:rsid w:val="07A7557D"/>
    <w:rsid w:val="07C5765D"/>
    <w:rsid w:val="08136791"/>
    <w:rsid w:val="082D080E"/>
    <w:rsid w:val="084C3439"/>
    <w:rsid w:val="087305FB"/>
    <w:rsid w:val="087B4BEA"/>
    <w:rsid w:val="087B5F6E"/>
    <w:rsid w:val="0889068B"/>
    <w:rsid w:val="088C465F"/>
    <w:rsid w:val="089B1A9B"/>
    <w:rsid w:val="08BA59AC"/>
    <w:rsid w:val="08D444A1"/>
    <w:rsid w:val="08E1143E"/>
    <w:rsid w:val="08FC1BEE"/>
    <w:rsid w:val="09A20CC2"/>
    <w:rsid w:val="09AD4797"/>
    <w:rsid w:val="09D12E4F"/>
    <w:rsid w:val="09F2400E"/>
    <w:rsid w:val="0A2C5771"/>
    <w:rsid w:val="0A31500E"/>
    <w:rsid w:val="0A5B1BB3"/>
    <w:rsid w:val="0A7E0FEF"/>
    <w:rsid w:val="0AB3379D"/>
    <w:rsid w:val="0AEB10F9"/>
    <w:rsid w:val="0AF24264"/>
    <w:rsid w:val="0B4B49D5"/>
    <w:rsid w:val="0B5475AC"/>
    <w:rsid w:val="0B6902FF"/>
    <w:rsid w:val="0B7B0E38"/>
    <w:rsid w:val="0B964BE3"/>
    <w:rsid w:val="0B975C9B"/>
    <w:rsid w:val="0BA37CB5"/>
    <w:rsid w:val="0BCE1311"/>
    <w:rsid w:val="0C0D1503"/>
    <w:rsid w:val="0C5965C6"/>
    <w:rsid w:val="0C8628A6"/>
    <w:rsid w:val="0CE265BB"/>
    <w:rsid w:val="0D1A431A"/>
    <w:rsid w:val="0D1E314A"/>
    <w:rsid w:val="0D4550A9"/>
    <w:rsid w:val="0D4829AA"/>
    <w:rsid w:val="0D562B05"/>
    <w:rsid w:val="0D643D65"/>
    <w:rsid w:val="0DBA3094"/>
    <w:rsid w:val="0DE17F09"/>
    <w:rsid w:val="0E3F3599"/>
    <w:rsid w:val="0E56100F"/>
    <w:rsid w:val="0E69058F"/>
    <w:rsid w:val="0EB14497"/>
    <w:rsid w:val="0ECC1F6E"/>
    <w:rsid w:val="0EDC22D4"/>
    <w:rsid w:val="0F3059E5"/>
    <w:rsid w:val="0F334030"/>
    <w:rsid w:val="0F6725AF"/>
    <w:rsid w:val="0F787100"/>
    <w:rsid w:val="0F800066"/>
    <w:rsid w:val="0F865924"/>
    <w:rsid w:val="0F982C2D"/>
    <w:rsid w:val="0FB66128"/>
    <w:rsid w:val="10256AF3"/>
    <w:rsid w:val="105F10EA"/>
    <w:rsid w:val="106317C1"/>
    <w:rsid w:val="106A7A2D"/>
    <w:rsid w:val="10725D5E"/>
    <w:rsid w:val="107753DD"/>
    <w:rsid w:val="108F6B7A"/>
    <w:rsid w:val="10985783"/>
    <w:rsid w:val="10CE2017"/>
    <w:rsid w:val="10CF633D"/>
    <w:rsid w:val="10D5330B"/>
    <w:rsid w:val="10D67CA1"/>
    <w:rsid w:val="10EB3D90"/>
    <w:rsid w:val="11735F23"/>
    <w:rsid w:val="11980EC6"/>
    <w:rsid w:val="11A52DC9"/>
    <w:rsid w:val="11B14ED2"/>
    <w:rsid w:val="11B71BC7"/>
    <w:rsid w:val="11B81FE1"/>
    <w:rsid w:val="11C90332"/>
    <w:rsid w:val="11DA600F"/>
    <w:rsid w:val="12143528"/>
    <w:rsid w:val="12A06CFD"/>
    <w:rsid w:val="12B10773"/>
    <w:rsid w:val="12EC3357"/>
    <w:rsid w:val="130059ED"/>
    <w:rsid w:val="130F3E82"/>
    <w:rsid w:val="13484716"/>
    <w:rsid w:val="1352270B"/>
    <w:rsid w:val="13714EF1"/>
    <w:rsid w:val="13A72019"/>
    <w:rsid w:val="13BB263F"/>
    <w:rsid w:val="13E6440F"/>
    <w:rsid w:val="145D25A5"/>
    <w:rsid w:val="148C206E"/>
    <w:rsid w:val="14B6460F"/>
    <w:rsid w:val="14C64A14"/>
    <w:rsid w:val="14E8498B"/>
    <w:rsid w:val="1568787A"/>
    <w:rsid w:val="159266A5"/>
    <w:rsid w:val="159D59AB"/>
    <w:rsid w:val="15A2746B"/>
    <w:rsid w:val="15CE1DD3"/>
    <w:rsid w:val="15E46F00"/>
    <w:rsid w:val="15E877CC"/>
    <w:rsid w:val="15ED2986"/>
    <w:rsid w:val="16351E52"/>
    <w:rsid w:val="164140CD"/>
    <w:rsid w:val="16612C47"/>
    <w:rsid w:val="16CC1169"/>
    <w:rsid w:val="16DE764D"/>
    <w:rsid w:val="16E06CA5"/>
    <w:rsid w:val="16E55626"/>
    <w:rsid w:val="16EF491C"/>
    <w:rsid w:val="16FB3FB9"/>
    <w:rsid w:val="170E7490"/>
    <w:rsid w:val="17103770"/>
    <w:rsid w:val="17732D6C"/>
    <w:rsid w:val="17B267DF"/>
    <w:rsid w:val="17CE7859"/>
    <w:rsid w:val="17F37A5C"/>
    <w:rsid w:val="18292830"/>
    <w:rsid w:val="186F00B8"/>
    <w:rsid w:val="187246E8"/>
    <w:rsid w:val="187C78C4"/>
    <w:rsid w:val="18A04D6F"/>
    <w:rsid w:val="18CD4F1B"/>
    <w:rsid w:val="18EB4A4A"/>
    <w:rsid w:val="192F5006"/>
    <w:rsid w:val="194257ED"/>
    <w:rsid w:val="198A7DBF"/>
    <w:rsid w:val="19BB48CD"/>
    <w:rsid w:val="19DE008F"/>
    <w:rsid w:val="19FD67E3"/>
    <w:rsid w:val="1A252949"/>
    <w:rsid w:val="1A306CD8"/>
    <w:rsid w:val="1A5B175B"/>
    <w:rsid w:val="1A633B30"/>
    <w:rsid w:val="1A65246C"/>
    <w:rsid w:val="1AAB7257"/>
    <w:rsid w:val="1ABF2FF1"/>
    <w:rsid w:val="1AC02AD2"/>
    <w:rsid w:val="1AE72684"/>
    <w:rsid w:val="1AF214AA"/>
    <w:rsid w:val="1B723200"/>
    <w:rsid w:val="1B9C64CF"/>
    <w:rsid w:val="1B9E5893"/>
    <w:rsid w:val="1BC86B43"/>
    <w:rsid w:val="1BD417C5"/>
    <w:rsid w:val="1C0B1166"/>
    <w:rsid w:val="1C9227A9"/>
    <w:rsid w:val="1CAE2016"/>
    <w:rsid w:val="1CEE13BB"/>
    <w:rsid w:val="1D231704"/>
    <w:rsid w:val="1D235D75"/>
    <w:rsid w:val="1D340FAF"/>
    <w:rsid w:val="1D5152E7"/>
    <w:rsid w:val="1D5B6296"/>
    <w:rsid w:val="1DA47712"/>
    <w:rsid w:val="1DAF05D6"/>
    <w:rsid w:val="1DF103B4"/>
    <w:rsid w:val="1E3649B9"/>
    <w:rsid w:val="1E7F254D"/>
    <w:rsid w:val="1EC43D73"/>
    <w:rsid w:val="1EFD0C03"/>
    <w:rsid w:val="1F4A4FDD"/>
    <w:rsid w:val="1F8B4890"/>
    <w:rsid w:val="1FA37E2C"/>
    <w:rsid w:val="1FF106F1"/>
    <w:rsid w:val="20231BF3"/>
    <w:rsid w:val="20360CA0"/>
    <w:rsid w:val="20423DC8"/>
    <w:rsid w:val="205C7FDB"/>
    <w:rsid w:val="20857532"/>
    <w:rsid w:val="209E5E02"/>
    <w:rsid w:val="212C2E8F"/>
    <w:rsid w:val="21323578"/>
    <w:rsid w:val="21336F8E"/>
    <w:rsid w:val="21620AD1"/>
    <w:rsid w:val="21964095"/>
    <w:rsid w:val="219E47AB"/>
    <w:rsid w:val="21AA1E6F"/>
    <w:rsid w:val="220B525B"/>
    <w:rsid w:val="22376E4A"/>
    <w:rsid w:val="225F406B"/>
    <w:rsid w:val="226F0499"/>
    <w:rsid w:val="228757E3"/>
    <w:rsid w:val="229A3886"/>
    <w:rsid w:val="22BB723C"/>
    <w:rsid w:val="22FA4207"/>
    <w:rsid w:val="231C59CF"/>
    <w:rsid w:val="23216238"/>
    <w:rsid w:val="232F0909"/>
    <w:rsid w:val="233A686A"/>
    <w:rsid w:val="23596772"/>
    <w:rsid w:val="23841D58"/>
    <w:rsid w:val="23897339"/>
    <w:rsid w:val="23A843B5"/>
    <w:rsid w:val="23B0525F"/>
    <w:rsid w:val="240C2715"/>
    <w:rsid w:val="242B219E"/>
    <w:rsid w:val="24392B0D"/>
    <w:rsid w:val="244E4E1E"/>
    <w:rsid w:val="247E6772"/>
    <w:rsid w:val="24945F95"/>
    <w:rsid w:val="24C22B02"/>
    <w:rsid w:val="24D13E99"/>
    <w:rsid w:val="255F3933"/>
    <w:rsid w:val="259C15A5"/>
    <w:rsid w:val="25E96AE8"/>
    <w:rsid w:val="25EE5B79"/>
    <w:rsid w:val="261E6239"/>
    <w:rsid w:val="26601CD1"/>
    <w:rsid w:val="266334AD"/>
    <w:rsid w:val="26AB7CB4"/>
    <w:rsid w:val="26C26DCB"/>
    <w:rsid w:val="26FE4E7A"/>
    <w:rsid w:val="27497765"/>
    <w:rsid w:val="27771588"/>
    <w:rsid w:val="277C6C16"/>
    <w:rsid w:val="27B72571"/>
    <w:rsid w:val="27E17743"/>
    <w:rsid w:val="284B1CB1"/>
    <w:rsid w:val="28584948"/>
    <w:rsid w:val="28600888"/>
    <w:rsid w:val="28B210E0"/>
    <w:rsid w:val="28C66C4C"/>
    <w:rsid w:val="28E8422A"/>
    <w:rsid w:val="29310257"/>
    <w:rsid w:val="295A3164"/>
    <w:rsid w:val="295E553A"/>
    <w:rsid w:val="296C74E1"/>
    <w:rsid w:val="29B81379"/>
    <w:rsid w:val="29F00593"/>
    <w:rsid w:val="2A1D4E1F"/>
    <w:rsid w:val="2A4C0011"/>
    <w:rsid w:val="2A783366"/>
    <w:rsid w:val="2A8020CA"/>
    <w:rsid w:val="2AC63595"/>
    <w:rsid w:val="2AF86FFB"/>
    <w:rsid w:val="2B371087"/>
    <w:rsid w:val="2BB25F23"/>
    <w:rsid w:val="2BE21B0E"/>
    <w:rsid w:val="2BE558B3"/>
    <w:rsid w:val="2BE76EC6"/>
    <w:rsid w:val="2BE8051F"/>
    <w:rsid w:val="2C1D2594"/>
    <w:rsid w:val="2C907843"/>
    <w:rsid w:val="2CA24128"/>
    <w:rsid w:val="2D2325AC"/>
    <w:rsid w:val="2D4D587B"/>
    <w:rsid w:val="2D800855"/>
    <w:rsid w:val="2DBA5B47"/>
    <w:rsid w:val="2DF70699"/>
    <w:rsid w:val="2E284D7D"/>
    <w:rsid w:val="2E37621E"/>
    <w:rsid w:val="2E5D3835"/>
    <w:rsid w:val="2EBE070A"/>
    <w:rsid w:val="2F1D2A97"/>
    <w:rsid w:val="2F2E6A9C"/>
    <w:rsid w:val="2F363A90"/>
    <w:rsid w:val="2F4E1C9C"/>
    <w:rsid w:val="2F53021D"/>
    <w:rsid w:val="2F8B3D85"/>
    <w:rsid w:val="2FB45A58"/>
    <w:rsid w:val="2FBB2F70"/>
    <w:rsid w:val="2FCA756D"/>
    <w:rsid w:val="2FFE4C0B"/>
    <w:rsid w:val="304055CA"/>
    <w:rsid w:val="304C5976"/>
    <w:rsid w:val="308819B0"/>
    <w:rsid w:val="30B66F49"/>
    <w:rsid w:val="30B93DD9"/>
    <w:rsid w:val="30D6059E"/>
    <w:rsid w:val="30D836AE"/>
    <w:rsid w:val="30E052E7"/>
    <w:rsid w:val="30E20088"/>
    <w:rsid w:val="30E52918"/>
    <w:rsid w:val="30F74B66"/>
    <w:rsid w:val="311D02AA"/>
    <w:rsid w:val="31B1612B"/>
    <w:rsid w:val="31BB2692"/>
    <w:rsid w:val="31F369F1"/>
    <w:rsid w:val="31F75538"/>
    <w:rsid w:val="327A2C6E"/>
    <w:rsid w:val="328C29A2"/>
    <w:rsid w:val="32A0644D"/>
    <w:rsid w:val="32AB0DDB"/>
    <w:rsid w:val="32ED13AC"/>
    <w:rsid w:val="33251FDD"/>
    <w:rsid w:val="332E27B1"/>
    <w:rsid w:val="333E1067"/>
    <w:rsid w:val="3348686B"/>
    <w:rsid w:val="33833DA5"/>
    <w:rsid w:val="33DD33F9"/>
    <w:rsid w:val="33F33006"/>
    <w:rsid w:val="33F3381C"/>
    <w:rsid w:val="33F45CB3"/>
    <w:rsid w:val="3413175C"/>
    <w:rsid w:val="342573F5"/>
    <w:rsid w:val="34313801"/>
    <w:rsid w:val="346F11B0"/>
    <w:rsid w:val="349670BA"/>
    <w:rsid w:val="34AE2A73"/>
    <w:rsid w:val="34B575C9"/>
    <w:rsid w:val="355552CD"/>
    <w:rsid w:val="359E52FB"/>
    <w:rsid w:val="35CC4F53"/>
    <w:rsid w:val="36200AE6"/>
    <w:rsid w:val="364E6941"/>
    <w:rsid w:val="36581EF8"/>
    <w:rsid w:val="365B7CFB"/>
    <w:rsid w:val="36637EBD"/>
    <w:rsid w:val="36674731"/>
    <w:rsid w:val="36BD7B6A"/>
    <w:rsid w:val="36D82117"/>
    <w:rsid w:val="370B4D7D"/>
    <w:rsid w:val="371176AF"/>
    <w:rsid w:val="372B2789"/>
    <w:rsid w:val="372D3D16"/>
    <w:rsid w:val="373A0275"/>
    <w:rsid w:val="377601BB"/>
    <w:rsid w:val="3784633D"/>
    <w:rsid w:val="379E3F2F"/>
    <w:rsid w:val="37AB24BC"/>
    <w:rsid w:val="37CF580A"/>
    <w:rsid w:val="383034F7"/>
    <w:rsid w:val="38306230"/>
    <w:rsid w:val="384F2EE5"/>
    <w:rsid w:val="38565EBE"/>
    <w:rsid w:val="386C4AB5"/>
    <w:rsid w:val="3872263A"/>
    <w:rsid w:val="38800E23"/>
    <w:rsid w:val="388303A3"/>
    <w:rsid w:val="38912AC0"/>
    <w:rsid w:val="3891486E"/>
    <w:rsid w:val="38BB7B3D"/>
    <w:rsid w:val="38D03143"/>
    <w:rsid w:val="391C0F79"/>
    <w:rsid w:val="399146A7"/>
    <w:rsid w:val="399C171C"/>
    <w:rsid w:val="39D41A2F"/>
    <w:rsid w:val="3A485400"/>
    <w:rsid w:val="3A7B57D6"/>
    <w:rsid w:val="3A7E23D5"/>
    <w:rsid w:val="3AB46F3A"/>
    <w:rsid w:val="3ADC09E6"/>
    <w:rsid w:val="3B2554CE"/>
    <w:rsid w:val="3B482958"/>
    <w:rsid w:val="3B725719"/>
    <w:rsid w:val="3BB51630"/>
    <w:rsid w:val="3BB75988"/>
    <w:rsid w:val="3BD25C10"/>
    <w:rsid w:val="3BF70375"/>
    <w:rsid w:val="3BFC52DB"/>
    <w:rsid w:val="3C9377CF"/>
    <w:rsid w:val="3CEA6C43"/>
    <w:rsid w:val="3CED04E1"/>
    <w:rsid w:val="3CF90C34"/>
    <w:rsid w:val="3D202664"/>
    <w:rsid w:val="3D8F3346"/>
    <w:rsid w:val="3DBC7EED"/>
    <w:rsid w:val="3DF608BA"/>
    <w:rsid w:val="3E3208A1"/>
    <w:rsid w:val="3E3F15CF"/>
    <w:rsid w:val="3E8409D1"/>
    <w:rsid w:val="3E9B331A"/>
    <w:rsid w:val="3EB12178"/>
    <w:rsid w:val="3F102E05"/>
    <w:rsid w:val="3F7A63D9"/>
    <w:rsid w:val="3F894766"/>
    <w:rsid w:val="3F900AE7"/>
    <w:rsid w:val="3FB5178A"/>
    <w:rsid w:val="3FFE1BFF"/>
    <w:rsid w:val="40292A31"/>
    <w:rsid w:val="40491FD9"/>
    <w:rsid w:val="404C551E"/>
    <w:rsid w:val="408D696C"/>
    <w:rsid w:val="40A74525"/>
    <w:rsid w:val="41206018"/>
    <w:rsid w:val="419B65A1"/>
    <w:rsid w:val="41C2018E"/>
    <w:rsid w:val="41F003B8"/>
    <w:rsid w:val="41F71DD8"/>
    <w:rsid w:val="42815953"/>
    <w:rsid w:val="429F402B"/>
    <w:rsid w:val="42C860A9"/>
    <w:rsid w:val="431A43AB"/>
    <w:rsid w:val="434A0B6F"/>
    <w:rsid w:val="43722D75"/>
    <w:rsid w:val="43CE1D1D"/>
    <w:rsid w:val="43D9531B"/>
    <w:rsid w:val="43FF628E"/>
    <w:rsid w:val="441C09E6"/>
    <w:rsid w:val="442B1BAA"/>
    <w:rsid w:val="444A7FC7"/>
    <w:rsid w:val="447D214A"/>
    <w:rsid w:val="448B4867"/>
    <w:rsid w:val="449256E7"/>
    <w:rsid w:val="44B20BC4"/>
    <w:rsid w:val="44D51EBD"/>
    <w:rsid w:val="454669E0"/>
    <w:rsid w:val="456E2FA2"/>
    <w:rsid w:val="45801129"/>
    <w:rsid w:val="45CF4237"/>
    <w:rsid w:val="45E32C7A"/>
    <w:rsid w:val="461C5343"/>
    <w:rsid w:val="4623108B"/>
    <w:rsid w:val="463F5A3F"/>
    <w:rsid w:val="4642189D"/>
    <w:rsid w:val="46466292"/>
    <w:rsid w:val="4656412B"/>
    <w:rsid w:val="46725D9F"/>
    <w:rsid w:val="467D28D5"/>
    <w:rsid w:val="469B2D5C"/>
    <w:rsid w:val="46DD5122"/>
    <w:rsid w:val="46FF32EA"/>
    <w:rsid w:val="47305B9A"/>
    <w:rsid w:val="473E58BD"/>
    <w:rsid w:val="477E4B57"/>
    <w:rsid w:val="47810B85"/>
    <w:rsid w:val="47924789"/>
    <w:rsid w:val="47966287"/>
    <w:rsid w:val="47C6205A"/>
    <w:rsid w:val="480212E4"/>
    <w:rsid w:val="48161C18"/>
    <w:rsid w:val="487B2E45"/>
    <w:rsid w:val="48AC39A5"/>
    <w:rsid w:val="48EE3617"/>
    <w:rsid w:val="493075A1"/>
    <w:rsid w:val="49473C15"/>
    <w:rsid w:val="49592BF7"/>
    <w:rsid w:val="499441BE"/>
    <w:rsid w:val="499660CA"/>
    <w:rsid w:val="49A16BA0"/>
    <w:rsid w:val="49CE0A9D"/>
    <w:rsid w:val="49FA46A4"/>
    <w:rsid w:val="4A0B59D5"/>
    <w:rsid w:val="4A2C089A"/>
    <w:rsid w:val="4A381C35"/>
    <w:rsid w:val="4A3D03DD"/>
    <w:rsid w:val="4A6A13C3"/>
    <w:rsid w:val="4A8E7782"/>
    <w:rsid w:val="4AC76815"/>
    <w:rsid w:val="4AC8711A"/>
    <w:rsid w:val="4ADD7DE7"/>
    <w:rsid w:val="4B023B91"/>
    <w:rsid w:val="4B22663A"/>
    <w:rsid w:val="4B3B41C9"/>
    <w:rsid w:val="4B821A96"/>
    <w:rsid w:val="4B9A7A86"/>
    <w:rsid w:val="4BC74FC4"/>
    <w:rsid w:val="4BD72A88"/>
    <w:rsid w:val="4BEF7B31"/>
    <w:rsid w:val="4C11462E"/>
    <w:rsid w:val="4C15535E"/>
    <w:rsid w:val="4C197CCA"/>
    <w:rsid w:val="4C6360CA"/>
    <w:rsid w:val="4CB132D9"/>
    <w:rsid w:val="4CB614F5"/>
    <w:rsid w:val="4CE37103"/>
    <w:rsid w:val="4CE82290"/>
    <w:rsid w:val="4D237E1F"/>
    <w:rsid w:val="4D597555"/>
    <w:rsid w:val="4DA67FC9"/>
    <w:rsid w:val="4DBA440F"/>
    <w:rsid w:val="4DE8636C"/>
    <w:rsid w:val="4DF06083"/>
    <w:rsid w:val="4DF14EEE"/>
    <w:rsid w:val="4DFD70AF"/>
    <w:rsid w:val="4E136377"/>
    <w:rsid w:val="4E5A52AA"/>
    <w:rsid w:val="4E7E543D"/>
    <w:rsid w:val="4EB96475"/>
    <w:rsid w:val="4EBB043F"/>
    <w:rsid w:val="4EE86020"/>
    <w:rsid w:val="4F0000A7"/>
    <w:rsid w:val="4F334479"/>
    <w:rsid w:val="4F351F9F"/>
    <w:rsid w:val="4F83772E"/>
    <w:rsid w:val="4F914CEA"/>
    <w:rsid w:val="4FD02101"/>
    <w:rsid w:val="4FD84F9C"/>
    <w:rsid w:val="50002C54"/>
    <w:rsid w:val="501715B0"/>
    <w:rsid w:val="503A79D2"/>
    <w:rsid w:val="504E02E1"/>
    <w:rsid w:val="505B0F71"/>
    <w:rsid w:val="507408A5"/>
    <w:rsid w:val="50766696"/>
    <w:rsid w:val="50AF18DD"/>
    <w:rsid w:val="50B16CD0"/>
    <w:rsid w:val="50DE0415"/>
    <w:rsid w:val="50E15247"/>
    <w:rsid w:val="50EA6444"/>
    <w:rsid w:val="510471FE"/>
    <w:rsid w:val="510D731C"/>
    <w:rsid w:val="515F1555"/>
    <w:rsid w:val="51877DD1"/>
    <w:rsid w:val="520C4C56"/>
    <w:rsid w:val="522E404A"/>
    <w:rsid w:val="52B86367"/>
    <w:rsid w:val="52CC31B3"/>
    <w:rsid w:val="52F061DD"/>
    <w:rsid w:val="53066D20"/>
    <w:rsid w:val="531C2278"/>
    <w:rsid w:val="532F2768"/>
    <w:rsid w:val="535F1CEC"/>
    <w:rsid w:val="536E7E27"/>
    <w:rsid w:val="538E6122"/>
    <w:rsid w:val="54210D44"/>
    <w:rsid w:val="542A0CCA"/>
    <w:rsid w:val="5438391A"/>
    <w:rsid w:val="545E44F0"/>
    <w:rsid w:val="54937BDB"/>
    <w:rsid w:val="54FC7494"/>
    <w:rsid w:val="55052414"/>
    <w:rsid w:val="550D11B5"/>
    <w:rsid w:val="550E303B"/>
    <w:rsid w:val="555F3693"/>
    <w:rsid w:val="556E7FB9"/>
    <w:rsid w:val="557F3BF8"/>
    <w:rsid w:val="55985036"/>
    <w:rsid w:val="55BA0DF2"/>
    <w:rsid w:val="55D84C4A"/>
    <w:rsid w:val="55E42029"/>
    <w:rsid w:val="55F75F1A"/>
    <w:rsid w:val="55FF3307"/>
    <w:rsid w:val="56037DEB"/>
    <w:rsid w:val="56293EE0"/>
    <w:rsid w:val="5642019C"/>
    <w:rsid w:val="56B90C3F"/>
    <w:rsid w:val="56CC789B"/>
    <w:rsid w:val="56DE2F1C"/>
    <w:rsid w:val="570E4B2F"/>
    <w:rsid w:val="57142E13"/>
    <w:rsid w:val="571B03E0"/>
    <w:rsid w:val="57276390"/>
    <w:rsid w:val="57556EE2"/>
    <w:rsid w:val="57561D16"/>
    <w:rsid w:val="57A04676"/>
    <w:rsid w:val="57E30BFB"/>
    <w:rsid w:val="582C7CB7"/>
    <w:rsid w:val="58403ACF"/>
    <w:rsid w:val="5860631B"/>
    <w:rsid w:val="587756C8"/>
    <w:rsid w:val="588C0756"/>
    <w:rsid w:val="58D65FE6"/>
    <w:rsid w:val="58DF0AE6"/>
    <w:rsid w:val="591035AD"/>
    <w:rsid w:val="593762E3"/>
    <w:rsid w:val="594A5CF3"/>
    <w:rsid w:val="5969392A"/>
    <w:rsid w:val="59C15C83"/>
    <w:rsid w:val="5A123259"/>
    <w:rsid w:val="5A272E2C"/>
    <w:rsid w:val="5A421A14"/>
    <w:rsid w:val="5A81253D"/>
    <w:rsid w:val="5AA13567"/>
    <w:rsid w:val="5ADF3707"/>
    <w:rsid w:val="5AF477EF"/>
    <w:rsid w:val="5B085379"/>
    <w:rsid w:val="5B370E4D"/>
    <w:rsid w:val="5B3F1A4C"/>
    <w:rsid w:val="5B542BC9"/>
    <w:rsid w:val="5B5B3851"/>
    <w:rsid w:val="5B81031A"/>
    <w:rsid w:val="5B927CAC"/>
    <w:rsid w:val="5BAF7B93"/>
    <w:rsid w:val="5BF475EB"/>
    <w:rsid w:val="5C133668"/>
    <w:rsid w:val="5C165EEF"/>
    <w:rsid w:val="5C1C26FB"/>
    <w:rsid w:val="5C511E62"/>
    <w:rsid w:val="5CCE23FF"/>
    <w:rsid w:val="5CF60894"/>
    <w:rsid w:val="5D1217CA"/>
    <w:rsid w:val="5D4B2D64"/>
    <w:rsid w:val="5D9F509A"/>
    <w:rsid w:val="5DA85B49"/>
    <w:rsid w:val="5DAF5999"/>
    <w:rsid w:val="5DEC0618"/>
    <w:rsid w:val="5E1467DB"/>
    <w:rsid w:val="5E8E347A"/>
    <w:rsid w:val="5EA94853"/>
    <w:rsid w:val="5ED24796"/>
    <w:rsid w:val="5EDE5554"/>
    <w:rsid w:val="5EEB56AB"/>
    <w:rsid w:val="5EEF0942"/>
    <w:rsid w:val="5EFA466C"/>
    <w:rsid w:val="5F1A1C39"/>
    <w:rsid w:val="5F275861"/>
    <w:rsid w:val="5F6B7D94"/>
    <w:rsid w:val="5F812FDF"/>
    <w:rsid w:val="5FDC7A97"/>
    <w:rsid w:val="60086756"/>
    <w:rsid w:val="602D0270"/>
    <w:rsid w:val="602E7A7C"/>
    <w:rsid w:val="603E4A2C"/>
    <w:rsid w:val="60653243"/>
    <w:rsid w:val="60765560"/>
    <w:rsid w:val="608A66C7"/>
    <w:rsid w:val="60912DAE"/>
    <w:rsid w:val="60A77BE5"/>
    <w:rsid w:val="60C2740B"/>
    <w:rsid w:val="60D35358"/>
    <w:rsid w:val="60DB227B"/>
    <w:rsid w:val="60E406F3"/>
    <w:rsid w:val="60FF065F"/>
    <w:rsid w:val="613042A1"/>
    <w:rsid w:val="61D71C74"/>
    <w:rsid w:val="61F46BFE"/>
    <w:rsid w:val="61F46C7A"/>
    <w:rsid w:val="623C143F"/>
    <w:rsid w:val="626E1CB7"/>
    <w:rsid w:val="628012C7"/>
    <w:rsid w:val="628A2B7A"/>
    <w:rsid w:val="62992698"/>
    <w:rsid w:val="62BB5B08"/>
    <w:rsid w:val="62D41677"/>
    <w:rsid w:val="62E25B42"/>
    <w:rsid w:val="63071A4D"/>
    <w:rsid w:val="633F6733"/>
    <w:rsid w:val="63636D1C"/>
    <w:rsid w:val="637C6A4B"/>
    <w:rsid w:val="639F57B6"/>
    <w:rsid w:val="63A02A4F"/>
    <w:rsid w:val="63D731CD"/>
    <w:rsid w:val="640B731B"/>
    <w:rsid w:val="641E704E"/>
    <w:rsid w:val="64665A39"/>
    <w:rsid w:val="647C1FC7"/>
    <w:rsid w:val="64B1537D"/>
    <w:rsid w:val="64DC5E79"/>
    <w:rsid w:val="652F7DA0"/>
    <w:rsid w:val="65B512EC"/>
    <w:rsid w:val="65CA03B0"/>
    <w:rsid w:val="66B8207D"/>
    <w:rsid w:val="66BC4C38"/>
    <w:rsid w:val="66D3507D"/>
    <w:rsid w:val="66EA3218"/>
    <w:rsid w:val="670C13E0"/>
    <w:rsid w:val="67176709"/>
    <w:rsid w:val="67177D85"/>
    <w:rsid w:val="67196EBE"/>
    <w:rsid w:val="671B7875"/>
    <w:rsid w:val="675F400C"/>
    <w:rsid w:val="676254A4"/>
    <w:rsid w:val="677F6B79"/>
    <w:rsid w:val="67C41C9C"/>
    <w:rsid w:val="67F52878"/>
    <w:rsid w:val="6806039C"/>
    <w:rsid w:val="687218D9"/>
    <w:rsid w:val="68942428"/>
    <w:rsid w:val="6894380E"/>
    <w:rsid w:val="68E5638C"/>
    <w:rsid w:val="694145F1"/>
    <w:rsid w:val="694B7677"/>
    <w:rsid w:val="69671334"/>
    <w:rsid w:val="69787B94"/>
    <w:rsid w:val="69A521C6"/>
    <w:rsid w:val="69FB1962"/>
    <w:rsid w:val="6A401B02"/>
    <w:rsid w:val="6A512D5F"/>
    <w:rsid w:val="6A6D2FD7"/>
    <w:rsid w:val="6A6E2791"/>
    <w:rsid w:val="6AE163DB"/>
    <w:rsid w:val="6AF30C53"/>
    <w:rsid w:val="6B5505D2"/>
    <w:rsid w:val="6B6F1F3D"/>
    <w:rsid w:val="6B7439F8"/>
    <w:rsid w:val="6B95409A"/>
    <w:rsid w:val="6B9C69F8"/>
    <w:rsid w:val="6BCF5712"/>
    <w:rsid w:val="6C027255"/>
    <w:rsid w:val="6C565661"/>
    <w:rsid w:val="6CA87DFD"/>
    <w:rsid w:val="6D4C213C"/>
    <w:rsid w:val="6D5E04BB"/>
    <w:rsid w:val="6D607861"/>
    <w:rsid w:val="6D8C3919"/>
    <w:rsid w:val="6DBF1B58"/>
    <w:rsid w:val="6E1F7C4B"/>
    <w:rsid w:val="6E81336B"/>
    <w:rsid w:val="6EDF04EE"/>
    <w:rsid w:val="6EED17E5"/>
    <w:rsid w:val="6F0208E6"/>
    <w:rsid w:val="6F0E5442"/>
    <w:rsid w:val="6F5F3CAF"/>
    <w:rsid w:val="6F614293"/>
    <w:rsid w:val="6F6E7700"/>
    <w:rsid w:val="6F7C627C"/>
    <w:rsid w:val="6F8561D3"/>
    <w:rsid w:val="6F8C57B4"/>
    <w:rsid w:val="6F8D5088"/>
    <w:rsid w:val="6F983149"/>
    <w:rsid w:val="6FB607BF"/>
    <w:rsid w:val="6FDC4FAB"/>
    <w:rsid w:val="6FE039C4"/>
    <w:rsid w:val="700F32D2"/>
    <w:rsid w:val="701904DB"/>
    <w:rsid w:val="70241B23"/>
    <w:rsid w:val="70507E60"/>
    <w:rsid w:val="70912930"/>
    <w:rsid w:val="70A713EC"/>
    <w:rsid w:val="70A767C2"/>
    <w:rsid w:val="70D55BE6"/>
    <w:rsid w:val="70FD3B26"/>
    <w:rsid w:val="71125D66"/>
    <w:rsid w:val="71782F32"/>
    <w:rsid w:val="71942D69"/>
    <w:rsid w:val="71B44B4E"/>
    <w:rsid w:val="72155B73"/>
    <w:rsid w:val="7225479B"/>
    <w:rsid w:val="727D2920"/>
    <w:rsid w:val="7286111E"/>
    <w:rsid w:val="72A94FFF"/>
    <w:rsid w:val="72BF294A"/>
    <w:rsid w:val="73136D9C"/>
    <w:rsid w:val="734056D0"/>
    <w:rsid w:val="73555EBD"/>
    <w:rsid w:val="736D6A93"/>
    <w:rsid w:val="73C75863"/>
    <w:rsid w:val="7472484C"/>
    <w:rsid w:val="74C257D4"/>
    <w:rsid w:val="753C37D8"/>
    <w:rsid w:val="75812F99"/>
    <w:rsid w:val="75A15335"/>
    <w:rsid w:val="75A72C10"/>
    <w:rsid w:val="75D60C86"/>
    <w:rsid w:val="75EB1595"/>
    <w:rsid w:val="75F93477"/>
    <w:rsid w:val="75FC6AC3"/>
    <w:rsid w:val="762F5561"/>
    <w:rsid w:val="765D3A06"/>
    <w:rsid w:val="766220E2"/>
    <w:rsid w:val="76CC293A"/>
    <w:rsid w:val="76F25431"/>
    <w:rsid w:val="76F472D3"/>
    <w:rsid w:val="776E39F1"/>
    <w:rsid w:val="7817536B"/>
    <w:rsid w:val="782716BA"/>
    <w:rsid w:val="783A53EF"/>
    <w:rsid w:val="78474AFF"/>
    <w:rsid w:val="78B33DB1"/>
    <w:rsid w:val="78C42189"/>
    <w:rsid w:val="78E03E5D"/>
    <w:rsid w:val="78E66077"/>
    <w:rsid w:val="78EA177E"/>
    <w:rsid w:val="79021D66"/>
    <w:rsid w:val="79130357"/>
    <w:rsid w:val="7951702B"/>
    <w:rsid w:val="79526714"/>
    <w:rsid w:val="79994A0A"/>
    <w:rsid w:val="79BE173E"/>
    <w:rsid w:val="79DF6DA1"/>
    <w:rsid w:val="79E166FC"/>
    <w:rsid w:val="7A335D96"/>
    <w:rsid w:val="7A734108"/>
    <w:rsid w:val="7A880CF2"/>
    <w:rsid w:val="7AFB37ED"/>
    <w:rsid w:val="7AFC584B"/>
    <w:rsid w:val="7B2500CC"/>
    <w:rsid w:val="7B4572D9"/>
    <w:rsid w:val="7B78747E"/>
    <w:rsid w:val="7B80303A"/>
    <w:rsid w:val="7BD67971"/>
    <w:rsid w:val="7BE62A19"/>
    <w:rsid w:val="7BF772DE"/>
    <w:rsid w:val="7C18245F"/>
    <w:rsid w:val="7C3D1200"/>
    <w:rsid w:val="7C7750F6"/>
    <w:rsid w:val="7CA773FF"/>
    <w:rsid w:val="7CB44C60"/>
    <w:rsid w:val="7CF26F9D"/>
    <w:rsid w:val="7D17343E"/>
    <w:rsid w:val="7D514563"/>
    <w:rsid w:val="7D99109C"/>
    <w:rsid w:val="7DAF7C91"/>
    <w:rsid w:val="7DC25F23"/>
    <w:rsid w:val="7DD07720"/>
    <w:rsid w:val="7E1C029B"/>
    <w:rsid w:val="7E386B07"/>
    <w:rsid w:val="7E404DF7"/>
    <w:rsid w:val="7E484971"/>
    <w:rsid w:val="7E4F4EC8"/>
    <w:rsid w:val="7E54586A"/>
    <w:rsid w:val="7E605C41"/>
    <w:rsid w:val="7E6E7C52"/>
    <w:rsid w:val="7E747B3F"/>
    <w:rsid w:val="7E9807D1"/>
    <w:rsid w:val="7ECF58ED"/>
    <w:rsid w:val="7EF234B7"/>
    <w:rsid w:val="7F38797C"/>
    <w:rsid w:val="7F44095E"/>
    <w:rsid w:val="7F503CB1"/>
    <w:rsid w:val="7F5462BC"/>
    <w:rsid w:val="7F786FF9"/>
    <w:rsid w:val="7F8C0EB8"/>
    <w:rsid w:val="7FCB046D"/>
    <w:rsid w:val="7FDC43EF"/>
    <w:rsid w:val="7FEF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kern w:val="2"/>
    </w:rPr>
  </w:style>
  <w:style w:type="paragraph" w:styleId="12">
    <w:name w:val="caption"/>
    <w:basedOn w:val="1"/>
    <w:next w:val="1"/>
    <w:unhideWhenUsed/>
    <w:qFormat/>
    <w:uiPriority w:val="0"/>
    <w:pPr>
      <w:spacing w:before="50" w:beforeLines="50" w:after="50" w:afterLines="50"/>
      <w:jc w:val="center"/>
    </w:pPr>
    <w:rPr>
      <w:rFonts w:ascii="黑体" w:hAnsi="黑体" w:eastAsia="黑体" w:cs="黑体"/>
      <w:szCs w:val="21"/>
    </w:rPr>
  </w:style>
  <w:style w:type="paragraph" w:styleId="13">
    <w:name w:val="annotation text"/>
    <w:basedOn w:val="1"/>
    <w:link w:val="96"/>
    <w:qFormat/>
    <w:uiPriority w:val="0"/>
    <w:pPr>
      <w:jc w:val="left"/>
    </w:pPr>
  </w:style>
  <w:style w:type="paragraph" w:styleId="14">
    <w:name w:val="toc 5"/>
    <w:basedOn w:val="1"/>
    <w:next w:val="1"/>
    <w:unhideWhenUsed/>
    <w:qFormat/>
    <w:uiPriority w:val="39"/>
    <w:pPr>
      <w:ind w:left="1680" w:leftChars="800"/>
    </w:pPr>
    <w:rPr>
      <w:kern w:val="2"/>
    </w:rPr>
  </w:style>
  <w:style w:type="paragraph" w:styleId="15">
    <w:name w:val="toc 3"/>
    <w:basedOn w:val="1"/>
    <w:next w:val="1"/>
    <w:unhideWhenUsed/>
    <w:qFormat/>
    <w:uiPriority w:val="39"/>
    <w:pPr>
      <w:ind w:left="840" w:leftChars="400"/>
    </w:pPr>
    <w:rPr>
      <w:kern w:val="2"/>
    </w:rPr>
  </w:style>
  <w:style w:type="paragraph" w:styleId="16">
    <w:name w:val="toc 8"/>
    <w:basedOn w:val="1"/>
    <w:next w:val="1"/>
    <w:unhideWhenUsed/>
    <w:qFormat/>
    <w:uiPriority w:val="39"/>
    <w:pPr>
      <w:ind w:left="2940" w:leftChars="1400"/>
    </w:pPr>
    <w:rPr>
      <w:kern w:val="2"/>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kern w:val="2"/>
    </w:rPr>
  </w:style>
  <w:style w:type="paragraph" w:styleId="21">
    <w:name w:val="toc 6"/>
    <w:basedOn w:val="1"/>
    <w:next w:val="1"/>
    <w:unhideWhenUsed/>
    <w:qFormat/>
    <w:uiPriority w:val="39"/>
    <w:pPr>
      <w:ind w:left="2100" w:leftChars="1000"/>
    </w:pPr>
    <w:rPr>
      <w:kern w:val="2"/>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kern w:val="2"/>
    </w:rPr>
  </w:style>
  <w:style w:type="paragraph" w:styleId="24">
    <w:name w:val="annotation subject"/>
    <w:basedOn w:val="13"/>
    <w:next w:val="13"/>
    <w:link w:val="97"/>
    <w:qFormat/>
    <w:uiPriority w:val="0"/>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qFormat/>
    <w:uiPriority w:val="0"/>
    <w:rPr>
      <w:sz w:val="21"/>
      <w:szCs w:val="21"/>
    </w:rPr>
  </w:style>
  <w:style w:type="paragraph" w:customStyle="1" w:styleId="3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4">
    <w:name w:val="封面标准英文名称"/>
    <w:basedOn w:val="33"/>
    <w:qFormat/>
    <w:uiPriority w:val="0"/>
    <w:pPr>
      <w:framePr w:w="9638" w:h="2710" w:hRule="exact" w:x="1357" w:y="7923"/>
      <w:spacing w:before="370" w:line="240" w:lineRule="auto"/>
    </w:pPr>
    <w:rPr>
      <w:rFonts w:ascii="Times New Roman" w:hAnsi="Times New Roman"/>
      <w:sz w:val="28"/>
      <w:szCs w:val="28"/>
    </w:rPr>
  </w:style>
  <w:style w:type="paragraph" w:customStyle="1" w:styleId="35">
    <w:name w:val="封面一致性程度标识"/>
    <w:basedOn w:val="34"/>
    <w:qFormat/>
    <w:uiPriority w:val="0"/>
    <w:pPr>
      <w:spacing w:before="440"/>
    </w:pPr>
    <w:rPr>
      <w:rFonts w:ascii="宋体" w:eastAsia="宋体"/>
    </w:rPr>
  </w:style>
  <w:style w:type="paragraph" w:customStyle="1" w:styleId="36">
    <w:name w:val="封面标准文稿类别"/>
    <w:basedOn w:val="35"/>
    <w:qFormat/>
    <w:uiPriority w:val="0"/>
    <w:pPr>
      <w:spacing w:after="160"/>
    </w:pPr>
    <w:rPr>
      <w:sz w:val="24"/>
    </w:rPr>
  </w:style>
  <w:style w:type="paragraph" w:customStyle="1" w:styleId="37">
    <w:name w:val="封面标准文稿编辑信息"/>
    <w:basedOn w:val="36"/>
    <w:qFormat/>
    <w:uiPriority w:val="0"/>
    <w:pPr>
      <w:spacing w:before="180" w:line="180" w:lineRule="exact"/>
    </w:pPr>
    <w:rPr>
      <w:sz w:val="21"/>
    </w:rPr>
  </w:style>
  <w:style w:type="paragraph" w:customStyle="1" w:styleId="38">
    <w:name w:val="其他发布日期"/>
    <w:basedOn w:val="39"/>
    <w:qFormat/>
    <w:uiPriority w:val="0"/>
    <w:pPr>
      <w:framePr w:vAnchor="page" w:hAnchor="text" w:x="1419"/>
    </w:pPr>
  </w:style>
  <w:style w:type="paragraph" w:customStyle="1" w:styleId="39">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40">
    <w:name w:val="其他实施日期"/>
    <w:basedOn w:val="41"/>
    <w:qFormat/>
    <w:uiPriority w:val="0"/>
  </w:style>
  <w:style w:type="paragraph" w:customStyle="1" w:styleId="41">
    <w:name w:val="实施日期"/>
    <w:basedOn w:val="39"/>
    <w:qFormat/>
    <w:uiPriority w:val="0"/>
    <w:pPr>
      <w:framePr w:vAnchor="page" w:hAnchor="text"/>
      <w:jc w:val="right"/>
    </w:pPr>
  </w:style>
  <w:style w:type="paragraph" w:customStyle="1" w:styleId="42">
    <w:name w:val="其他发布部门"/>
    <w:basedOn w:val="43"/>
    <w:qFormat/>
    <w:uiPriority w:val="0"/>
    <w:pPr>
      <w:framePr w:y="15310"/>
      <w:spacing w:line="0" w:lineRule="atLeast"/>
    </w:pPr>
    <w:rPr>
      <w:rFonts w:ascii="黑体" w:eastAsia="黑体"/>
      <w:b w:val="0"/>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45">
    <w:name w:val="H-IFC段格式"/>
    <w:link w:val="56"/>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46">
    <w:name w:val="发布"/>
    <w:qFormat/>
    <w:uiPriority w:val="0"/>
    <w:rPr>
      <w:rFonts w:ascii="黑体" w:eastAsia="黑体"/>
      <w:spacing w:val="85"/>
      <w:w w:val="100"/>
      <w:position w:val="3"/>
      <w:sz w:val="28"/>
      <w:szCs w:val="28"/>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48">
    <w:name w:val="其他标准标志"/>
    <w:basedOn w:val="49"/>
    <w:qFormat/>
    <w:uiPriority w:val="0"/>
    <w:pPr>
      <w:framePr w:w="6101" w:vAnchor="page" w:hAnchor="page" w:x="4673" w:y="942"/>
    </w:pPr>
    <w:rPr>
      <w:w w:val="130"/>
    </w:rPr>
  </w:style>
  <w:style w:type="paragraph" w:customStyle="1" w:styleId="4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character" w:customStyle="1" w:styleId="50">
    <w:name w:val="标题 1 字符"/>
    <w:basedOn w:val="27"/>
    <w:link w:val="2"/>
    <w:qFormat/>
    <w:uiPriority w:val="0"/>
    <w:rPr>
      <w:b/>
      <w:bCs/>
      <w:kern w:val="44"/>
      <w:sz w:val="44"/>
      <w:szCs w:val="44"/>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2">
    <w:name w:val="未处理的提及1"/>
    <w:basedOn w:val="27"/>
    <w:semiHidden/>
    <w:unhideWhenUsed/>
    <w:qFormat/>
    <w:uiPriority w:val="99"/>
    <w:rPr>
      <w:color w:val="605E5C"/>
      <w:shd w:val="clear" w:color="auto" w:fill="E1DFDD"/>
    </w:rPr>
  </w:style>
  <w:style w:type="paragraph" w:customStyle="1" w:styleId="53">
    <w:name w:val="一级条标题格式"/>
    <w:basedOn w:val="1"/>
    <w:link w:val="54"/>
    <w:qFormat/>
    <w:uiPriority w:val="0"/>
    <w:pPr>
      <w:spacing w:before="50" w:beforeLines="50" w:after="50" w:afterLines="50"/>
      <w:jc w:val="left"/>
    </w:pPr>
    <w:rPr>
      <w:rFonts w:hint="eastAsia" w:ascii="宋体" w:hAnsi="宋体" w:eastAsia="黑体" w:cs="宋体"/>
      <w:szCs w:val="21"/>
    </w:rPr>
  </w:style>
  <w:style w:type="character" w:customStyle="1" w:styleId="54">
    <w:name w:val="一级条标题 Char"/>
    <w:link w:val="53"/>
    <w:qFormat/>
    <w:uiPriority w:val="0"/>
    <w:rPr>
      <w:rFonts w:hint="eastAsia" w:ascii="宋体" w:hAnsi="宋体" w:eastAsia="黑体" w:cs="宋体"/>
      <w:szCs w:val="21"/>
    </w:rPr>
  </w:style>
  <w:style w:type="paragraph" w:customStyle="1" w:styleId="55">
    <w:name w:val="H-IFC章标题"/>
    <w:basedOn w:val="1"/>
    <w:next w:val="45"/>
    <w:link w:val="62"/>
    <w:qFormat/>
    <w:uiPriority w:val="0"/>
    <w:pPr>
      <w:numPr>
        <w:ilvl w:val="0"/>
        <w:numId w:val="2"/>
      </w:numPr>
      <w:tabs>
        <w:tab w:val="left" w:pos="0"/>
        <w:tab w:val="left" w:pos="420"/>
      </w:tabs>
      <w:spacing w:before="240" w:beforeLines="100" w:after="240" w:afterLines="100"/>
      <w:jc w:val="left"/>
      <w:outlineLvl w:val="0"/>
    </w:pPr>
    <w:rPr>
      <w:rFonts w:ascii="黑体" w:hAnsi="黑体" w:eastAsia="黑体" w:cs="黑体"/>
      <w:color w:val="000000" w:themeColor="text1"/>
      <w:szCs w:val="21"/>
      <w14:textFill>
        <w14:solidFill>
          <w14:schemeClr w14:val="tx1"/>
        </w14:solidFill>
      </w14:textFill>
    </w:rPr>
  </w:style>
  <w:style w:type="character" w:customStyle="1" w:styleId="56">
    <w:name w:val="段 Char"/>
    <w:link w:val="45"/>
    <w:qFormat/>
    <w:uiPriority w:val="0"/>
    <w:rPr>
      <w:rFonts w:ascii="宋体" w:hAnsi="宋体" w:eastAsia="宋体" w:cs="Times New Roman"/>
      <w:sz w:val="21"/>
      <w:lang w:val="en-US" w:eastAsia="zh-CN" w:bidi="ar-SA"/>
    </w:rPr>
  </w:style>
  <w:style w:type="paragraph" w:customStyle="1" w:styleId="57">
    <w:name w:val="H-IFC术语标题"/>
    <w:basedOn w:val="1"/>
    <w:link w:val="58"/>
    <w:qFormat/>
    <w:uiPriority w:val="0"/>
    <w:pPr>
      <w:spacing w:before="35" w:beforeLines="35" w:after="35" w:afterLines="35"/>
      <w:ind w:firstLine="720" w:firstLineChars="200"/>
      <w:jc w:val="left"/>
    </w:pPr>
    <w:rPr>
      <w:rFonts w:hint="eastAsia" w:ascii="黑体" w:hAnsi="黑体" w:eastAsia="黑体" w:cs="宋体"/>
      <w:szCs w:val="21"/>
    </w:rPr>
  </w:style>
  <w:style w:type="character" w:customStyle="1" w:styleId="58">
    <w:name w:val="术语标题格式 Char"/>
    <w:link w:val="57"/>
    <w:qFormat/>
    <w:uiPriority w:val="0"/>
    <w:rPr>
      <w:rFonts w:ascii="黑体" w:hAnsi="黑体" w:eastAsia="黑体" w:cs="宋体"/>
      <w:sz w:val="21"/>
      <w:szCs w:val="21"/>
    </w:rPr>
  </w:style>
  <w:style w:type="paragraph" w:customStyle="1" w:styleId="59">
    <w:name w:val="H-IFC条文列项格式"/>
    <w:basedOn w:val="1"/>
    <w:link w:val="60"/>
    <w:qFormat/>
    <w:uiPriority w:val="0"/>
    <w:pPr>
      <w:numPr>
        <w:ilvl w:val="2"/>
        <w:numId w:val="3"/>
      </w:numPr>
      <w:tabs>
        <w:tab w:val="left" w:pos="420"/>
      </w:tabs>
      <w:spacing w:before="33" w:beforeLines="33" w:after="33" w:afterLines="33"/>
      <w:jc w:val="left"/>
    </w:pPr>
    <w:rPr>
      <w:rFonts w:ascii="Arial" w:hAnsi="Arial"/>
    </w:rPr>
  </w:style>
  <w:style w:type="character" w:customStyle="1" w:styleId="60">
    <w:name w:val="条文列项格式 Char"/>
    <w:link w:val="59"/>
    <w:qFormat/>
    <w:uiPriority w:val="0"/>
    <w:rPr>
      <w:rFonts w:ascii="Arial" w:hAnsi="Arial" w:eastAsiaTheme="minorEastAsia" w:cstheme="minorBidi"/>
      <w:sz w:val="21"/>
      <w:szCs w:val="22"/>
    </w:rPr>
  </w:style>
  <w:style w:type="paragraph" w:customStyle="1" w:styleId="61">
    <w:name w:val="H-IFC表标题"/>
    <w:basedOn w:val="1"/>
    <w:qFormat/>
    <w:uiPriority w:val="0"/>
    <w:pPr>
      <w:widowControl/>
      <w:numPr>
        <w:ilvl w:val="0"/>
        <w:numId w:val="4"/>
      </w:numPr>
      <w:tabs>
        <w:tab w:val="left" w:pos="420"/>
        <w:tab w:val="left" w:pos="2693"/>
      </w:tabs>
      <w:snapToGrid w:val="0"/>
      <w:spacing w:before="120" w:beforeLines="50" w:after="120" w:afterLines="50"/>
      <w:contextualSpacing/>
      <w:jc w:val="left"/>
      <w:outlineLvl w:val="7"/>
    </w:pPr>
    <w:rPr>
      <w:rFonts w:ascii="Arial" w:hAnsi="Arial" w:eastAsia="黑体" w:cs="Arial"/>
    </w:rPr>
  </w:style>
  <w:style w:type="character" w:customStyle="1" w:styleId="62">
    <w:name w:val="章标题格式 Char"/>
    <w:link w:val="55"/>
    <w:qFormat/>
    <w:uiPriority w:val="0"/>
    <w:rPr>
      <w:rFonts w:ascii="黑体" w:hAnsi="黑体" w:eastAsia="黑体" w:cs="黑体"/>
      <w:color w:val="000000" w:themeColor="text1"/>
      <w:sz w:val="21"/>
      <w:szCs w:val="21"/>
      <w14:textFill>
        <w14:solidFill>
          <w14:schemeClr w14:val="tx1"/>
        </w14:solidFill>
      </w14:textFill>
    </w:rPr>
  </w:style>
  <w:style w:type="paragraph" w:customStyle="1" w:styleId="63">
    <w:name w:val="H-IFC数字项格式"/>
    <w:basedOn w:val="1"/>
    <w:qFormat/>
    <w:uiPriority w:val="0"/>
    <w:pPr>
      <w:tabs>
        <w:tab w:val="center" w:pos="4201"/>
        <w:tab w:val="right" w:leader="dot" w:pos="9298"/>
      </w:tabs>
      <w:autoSpaceDE w:val="0"/>
      <w:autoSpaceDN w:val="0"/>
      <w:ind w:firstLine="1441" w:firstLineChars="400"/>
    </w:pPr>
    <w:rPr>
      <w:rFonts w:ascii="宋体" w:hAnsi="宋体" w:eastAsia="宋体" w:cs="Times New Roman"/>
    </w:rPr>
  </w:style>
  <w:style w:type="paragraph" w:customStyle="1" w:styleId="64">
    <w:name w:val="H-IFC表文字"/>
    <w:basedOn w:val="1"/>
    <w:qFormat/>
    <w:uiPriority w:val="0"/>
    <w:pPr>
      <w:jc w:val="left"/>
      <w:outlineLvl w:val="0"/>
    </w:pPr>
    <w:rPr>
      <w:rFonts w:ascii="宋体" w:hAnsi="宋体" w:eastAsia="宋体" w:cs="Arial"/>
      <w:sz w:val="18"/>
    </w:rPr>
  </w:style>
  <w:style w:type="paragraph" w:customStyle="1" w:styleId="65">
    <w:name w:val="文件名称"/>
    <w:basedOn w:val="1"/>
    <w:link w:val="66"/>
    <w:qFormat/>
    <w:uiPriority w:val="0"/>
    <w:pPr>
      <w:jc w:val="center"/>
      <w:outlineLvl w:val="0"/>
    </w:pPr>
    <w:rPr>
      <w:rFonts w:ascii="Arial" w:hAnsi="Arial" w:eastAsia="黑体" w:cs="Arial"/>
      <w:sz w:val="32"/>
    </w:rPr>
  </w:style>
  <w:style w:type="character" w:customStyle="1" w:styleId="66">
    <w:name w:val="附录内容 Char"/>
    <w:link w:val="65"/>
    <w:qFormat/>
    <w:uiPriority w:val="0"/>
    <w:rPr>
      <w:rFonts w:ascii="Arial" w:hAnsi="Arial" w:eastAsia="黑体" w:cs="Arial"/>
      <w:sz w:val="32"/>
    </w:rPr>
  </w:style>
  <w:style w:type="paragraph" w:customStyle="1" w:styleId="67">
    <w:name w:val="H-IFC目次格式"/>
    <w:basedOn w:val="1"/>
    <w:qFormat/>
    <w:uiPriority w:val="0"/>
    <w:pPr>
      <w:tabs>
        <w:tab w:val="right" w:leader="dot" w:pos="8295"/>
      </w:tabs>
    </w:pPr>
    <w:rPr>
      <w:rFonts w:hint="eastAsia" w:ascii="Times New Roman" w:hAnsi="Times New Roman" w:eastAsia="宋体" w:cs="宋体"/>
    </w:rPr>
  </w:style>
  <w:style w:type="character" w:customStyle="1" w:styleId="68">
    <w:name w:val="标题 2 字符"/>
    <w:link w:val="3"/>
    <w:qFormat/>
    <w:uiPriority w:val="0"/>
    <w:rPr>
      <w:rFonts w:ascii="Arial" w:hAnsi="Arial" w:eastAsia="黑体" w:cstheme="minorBidi"/>
      <w:b/>
      <w:sz w:val="32"/>
      <w:szCs w:val="22"/>
    </w:rPr>
  </w:style>
  <w:style w:type="paragraph" w:customStyle="1" w:styleId="69">
    <w:name w:val="条"/>
    <w:basedOn w:val="1"/>
    <w:next w:val="1"/>
    <w:qFormat/>
    <w:uiPriority w:val="0"/>
    <w:pPr>
      <w:numPr>
        <w:ilvl w:val="0"/>
        <w:numId w:val="5"/>
      </w:numPr>
      <w:spacing w:before="33" w:beforeLines="33" w:after="33" w:afterLines="33"/>
      <w:jc w:val="left"/>
    </w:pPr>
    <w:rPr>
      <w:rFonts w:eastAsia="宋体"/>
    </w:rPr>
  </w:style>
  <w:style w:type="paragraph" w:customStyle="1" w:styleId="70">
    <w:name w:val="一级条标题"/>
    <w:basedOn w:val="1"/>
    <w:qFormat/>
    <w:uiPriority w:val="0"/>
    <w:pPr>
      <w:numPr>
        <w:ilvl w:val="1"/>
        <w:numId w:val="6"/>
      </w:numPr>
    </w:pPr>
    <w:rPr>
      <w:rFonts w:ascii="Calibri" w:hAnsi="Calibri" w:eastAsia="黑体"/>
    </w:rPr>
  </w:style>
  <w:style w:type="paragraph" w:customStyle="1" w:styleId="71">
    <w:name w:val="二级条标题"/>
    <w:basedOn w:val="1"/>
    <w:qFormat/>
    <w:uiPriority w:val="0"/>
    <w:pPr>
      <w:numPr>
        <w:ilvl w:val="2"/>
        <w:numId w:val="7"/>
      </w:numPr>
    </w:pPr>
    <w:rPr>
      <w:rFonts w:ascii="Calibri" w:hAnsi="Calibri" w:eastAsia="黑体"/>
    </w:rPr>
  </w:style>
  <w:style w:type="paragraph" w:customStyle="1" w:styleId="72">
    <w:name w:val="三级条标题"/>
    <w:basedOn w:val="1"/>
    <w:qFormat/>
    <w:uiPriority w:val="0"/>
    <w:rPr>
      <w:rFonts w:ascii="Calibri" w:hAnsi="Calibri" w:eastAsia="黑体"/>
    </w:rPr>
  </w:style>
  <w:style w:type="paragraph" w:customStyle="1" w:styleId="73">
    <w:name w:val="四级条标题"/>
    <w:basedOn w:val="1"/>
    <w:qFormat/>
    <w:uiPriority w:val="0"/>
    <w:pPr>
      <w:numPr>
        <w:ilvl w:val="4"/>
        <w:numId w:val="8"/>
      </w:numPr>
    </w:pPr>
    <w:rPr>
      <w:rFonts w:ascii="Calibri" w:hAnsi="Calibri" w:eastAsia="黑体"/>
    </w:rPr>
  </w:style>
  <w:style w:type="paragraph" w:customStyle="1" w:styleId="74">
    <w:name w:val="五级条标题"/>
    <w:basedOn w:val="1"/>
    <w:qFormat/>
    <w:uiPriority w:val="0"/>
    <w:pPr>
      <w:numPr>
        <w:ilvl w:val="5"/>
        <w:numId w:val="8"/>
      </w:numPr>
    </w:pPr>
    <w:rPr>
      <w:rFonts w:ascii="Calibri" w:hAnsi="Calibri" w:eastAsia="黑体"/>
    </w:rPr>
  </w:style>
  <w:style w:type="paragraph" w:customStyle="1" w:styleId="75">
    <w:name w:val="H-IFC图标题"/>
    <w:basedOn w:val="1"/>
    <w:qFormat/>
    <w:uiPriority w:val="0"/>
    <w:pPr>
      <w:numPr>
        <w:ilvl w:val="0"/>
        <w:numId w:val="9"/>
      </w:numPr>
      <w:jc w:val="center"/>
      <w:outlineLvl w:val="7"/>
    </w:pPr>
    <w:rPr>
      <w:rFonts w:ascii="Arial" w:hAnsi="Arial" w:eastAsia="黑体" w:cs="Arial"/>
    </w:rPr>
  </w:style>
  <w:style w:type="paragraph" w:customStyle="1" w:styleId="76">
    <w:name w:val="H-IFC附录A"/>
    <w:basedOn w:val="1"/>
    <w:qFormat/>
    <w:uiPriority w:val="0"/>
    <w:pPr>
      <w:numPr>
        <w:ilvl w:val="0"/>
        <w:numId w:val="10"/>
      </w:numPr>
      <w:outlineLvl w:val="7"/>
    </w:pPr>
    <w:rPr>
      <w:rFonts w:ascii="Arial" w:hAnsi="Arial" w:eastAsia="黑体" w:cs="Arial"/>
    </w:rPr>
  </w:style>
  <w:style w:type="paragraph" w:customStyle="1" w:styleId="77">
    <w:name w:val="H-IFC附录B"/>
    <w:basedOn w:val="1"/>
    <w:qFormat/>
    <w:uiPriority w:val="0"/>
    <w:pPr>
      <w:numPr>
        <w:ilvl w:val="0"/>
        <w:numId w:val="11"/>
      </w:numPr>
      <w:jc w:val="center"/>
      <w:outlineLvl w:val="7"/>
    </w:pPr>
    <w:rPr>
      <w:rFonts w:ascii="Arial" w:hAnsi="Arial" w:eastAsia="黑体" w:cs="Arial"/>
    </w:rPr>
  </w:style>
  <w:style w:type="paragraph" w:customStyle="1" w:styleId="78">
    <w:name w:val="H-IFC附录C"/>
    <w:basedOn w:val="1"/>
    <w:qFormat/>
    <w:uiPriority w:val="0"/>
    <w:pPr>
      <w:numPr>
        <w:ilvl w:val="0"/>
        <w:numId w:val="12"/>
      </w:numPr>
      <w:jc w:val="center"/>
      <w:outlineLvl w:val="0"/>
    </w:pPr>
    <w:rPr>
      <w:rFonts w:ascii="Arial" w:hAnsi="Arial" w:eastAsia="黑体" w:cs="Arial"/>
    </w:rPr>
  </w:style>
  <w:style w:type="paragraph" w:customStyle="1" w:styleId="79">
    <w:name w:val="H-IFC附录D"/>
    <w:basedOn w:val="1"/>
    <w:qFormat/>
    <w:uiPriority w:val="0"/>
    <w:pPr>
      <w:numPr>
        <w:ilvl w:val="0"/>
        <w:numId w:val="13"/>
      </w:numPr>
      <w:jc w:val="center"/>
      <w:outlineLvl w:val="0"/>
    </w:pPr>
    <w:rPr>
      <w:rFonts w:ascii="Arial" w:hAnsi="Arial" w:eastAsia="黑体" w:cs="Arial"/>
    </w:rPr>
  </w:style>
  <w:style w:type="paragraph" w:customStyle="1" w:styleId="80">
    <w:name w:val="H-IFC附录E"/>
    <w:basedOn w:val="1"/>
    <w:qFormat/>
    <w:uiPriority w:val="0"/>
    <w:pPr>
      <w:numPr>
        <w:ilvl w:val="0"/>
        <w:numId w:val="14"/>
      </w:numPr>
      <w:jc w:val="center"/>
      <w:outlineLvl w:val="0"/>
    </w:pPr>
    <w:rPr>
      <w:rFonts w:ascii="Arial" w:hAnsi="Arial" w:eastAsia="黑体" w:cs="Arial"/>
    </w:rPr>
  </w:style>
  <w:style w:type="paragraph" w:customStyle="1" w:styleId="81">
    <w:name w:val="H-IFC一级条标题"/>
    <w:basedOn w:val="55"/>
    <w:link w:val="83"/>
    <w:qFormat/>
    <w:uiPriority w:val="0"/>
    <w:pPr>
      <w:numPr>
        <w:ilvl w:val="1"/>
        <w:numId w:val="15"/>
      </w:numPr>
      <w:spacing w:before="50" w:beforeLines="50" w:after="50" w:afterLines="50"/>
    </w:pPr>
    <w:rPr>
      <w:rFonts w:ascii="宋体" w:hAnsi="宋体" w:cs="宋体"/>
    </w:rPr>
  </w:style>
  <w:style w:type="paragraph" w:customStyle="1" w:styleId="82">
    <w:name w:val="样式1"/>
    <w:basedOn w:val="1"/>
    <w:qFormat/>
    <w:uiPriority w:val="0"/>
    <w:pPr>
      <w:numPr>
        <w:ilvl w:val="0"/>
        <w:numId w:val="16"/>
      </w:numPr>
    </w:pPr>
    <w:rPr>
      <w:rFonts w:ascii="Calibri" w:hAnsi="Calibri" w:eastAsia="黑体"/>
    </w:rPr>
  </w:style>
  <w:style w:type="character" w:customStyle="1" w:styleId="83">
    <w:name w:val="H-IFC一级条标题 Char"/>
    <w:link w:val="81"/>
    <w:qFormat/>
    <w:uiPriority w:val="0"/>
    <w:rPr>
      <w:rFonts w:ascii="宋体" w:hAnsi="宋体" w:eastAsia="黑体" w:cs="宋体"/>
      <w:color w:val="000000" w:themeColor="text1"/>
      <w:sz w:val="21"/>
      <w:szCs w:val="21"/>
      <w14:textFill>
        <w14:solidFill>
          <w14:schemeClr w14:val="tx1"/>
        </w14:solidFill>
      </w14:textFill>
    </w:rPr>
  </w:style>
  <w:style w:type="paragraph" w:customStyle="1" w:styleId="84">
    <w:name w:val="条文列项格式"/>
    <w:basedOn w:val="1"/>
    <w:qFormat/>
    <w:uiPriority w:val="0"/>
    <w:pPr>
      <w:numPr>
        <w:ilvl w:val="2"/>
        <w:numId w:val="17"/>
      </w:numPr>
    </w:pPr>
    <w:rPr>
      <w:rFonts w:ascii="Calibri" w:hAnsi="Calibri" w:eastAsia="黑体"/>
    </w:rPr>
  </w:style>
  <w:style w:type="paragraph" w:customStyle="1" w:styleId="85">
    <w:name w:val="H-IFC附录A一级条标题"/>
    <w:basedOn w:val="1"/>
    <w:qFormat/>
    <w:uiPriority w:val="0"/>
    <w:pPr>
      <w:numPr>
        <w:ilvl w:val="0"/>
        <w:numId w:val="18"/>
      </w:numPr>
      <w:spacing w:before="50" w:beforeLines="50" w:after="50" w:afterLines="50"/>
      <w:jc w:val="left"/>
    </w:pPr>
    <w:rPr>
      <w:rFonts w:hint="eastAsia" w:ascii="宋体" w:hAnsi="宋体" w:eastAsia="黑体" w:cs="宋体"/>
      <w:szCs w:val="21"/>
    </w:rPr>
  </w:style>
  <w:style w:type="paragraph" w:customStyle="1" w:styleId="86">
    <w:name w:val="H-IFC附录B一级条标题"/>
    <w:basedOn w:val="1"/>
    <w:qFormat/>
    <w:uiPriority w:val="0"/>
    <w:pPr>
      <w:numPr>
        <w:ilvl w:val="0"/>
        <w:numId w:val="19"/>
      </w:numPr>
      <w:spacing w:before="50" w:beforeLines="50" w:after="50" w:afterLines="50"/>
      <w:jc w:val="left"/>
    </w:pPr>
    <w:rPr>
      <w:rFonts w:hint="eastAsia" w:ascii="宋体" w:hAnsi="宋体" w:eastAsia="黑体" w:cs="宋体"/>
      <w:szCs w:val="21"/>
    </w:rPr>
  </w:style>
  <w:style w:type="paragraph" w:customStyle="1" w:styleId="87">
    <w:name w:val="H-IFC附录D一级标题"/>
    <w:basedOn w:val="1"/>
    <w:qFormat/>
    <w:uiPriority w:val="0"/>
    <w:pPr>
      <w:numPr>
        <w:ilvl w:val="0"/>
        <w:numId w:val="20"/>
      </w:numPr>
      <w:spacing w:before="50" w:beforeLines="50" w:after="50" w:afterLines="50"/>
      <w:jc w:val="left"/>
    </w:pPr>
    <w:rPr>
      <w:rFonts w:hint="eastAsia" w:ascii="宋体" w:hAnsi="宋体" w:eastAsia="黑体" w:cs="宋体"/>
      <w:szCs w:val="21"/>
    </w:rPr>
  </w:style>
  <w:style w:type="paragraph" w:customStyle="1" w:styleId="88">
    <w:name w:val="终结线"/>
    <w:basedOn w:val="1"/>
    <w:qFormat/>
    <w:uiPriority w:val="0"/>
    <w:pPr>
      <w:framePr w:hSpace="181" w:vSpace="181" w:wrap="around" w:vAnchor="text" w:hAnchor="margin" w:xAlign="center" w:y="285"/>
    </w:pPr>
  </w:style>
  <w:style w:type="paragraph" w:customStyle="1" w:styleId="8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90">
    <w:name w:val="H-IFC目次、标准名称标题"/>
    <w:basedOn w:val="1"/>
    <w:next w:val="44"/>
    <w:qFormat/>
    <w:uiPriority w:val="0"/>
    <w:pPr>
      <w:keepNext/>
      <w:pageBreakBefore/>
      <w:widowControl/>
      <w:shd w:val="clear" w:color="FFFFFF" w:fill="FFFFFF"/>
      <w:spacing w:before="640" w:after="560" w:line="460" w:lineRule="exact"/>
      <w:jc w:val="center"/>
      <w:outlineLvl w:val="0"/>
    </w:pPr>
    <w:rPr>
      <w:rFonts w:ascii="黑体" w:hAnsi="黑体" w:eastAsia="黑体"/>
      <w:sz w:val="32"/>
      <w:szCs w:val="20"/>
    </w:rPr>
  </w:style>
  <w:style w:type="paragraph" w:customStyle="1" w:styleId="91">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92">
    <w:name w:val="H-IFC前言、引言标题"/>
    <w:next w:val="44"/>
    <w:link w:val="93"/>
    <w:qFormat/>
    <w:uiPriority w:val="0"/>
    <w:pPr>
      <w:keepNext/>
      <w:pageBreakBefore/>
      <w:shd w:val="clear" w:color="FFFFFF" w:fill="FFFFFF"/>
      <w:spacing w:before="640" w:after="560"/>
      <w:jc w:val="center"/>
      <w:outlineLvl w:val="0"/>
    </w:pPr>
    <w:rPr>
      <w:rFonts w:ascii="黑体" w:hAnsi="黑体" w:eastAsia="黑体" w:cs="Times New Roman"/>
      <w:sz w:val="32"/>
      <w:lang w:val="en-US" w:eastAsia="zh-CN" w:bidi="ar-SA"/>
    </w:rPr>
  </w:style>
  <w:style w:type="character" w:customStyle="1" w:styleId="93">
    <w:name w:val="H-IFC前言、引言标题 Char"/>
    <w:link w:val="92"/>
    <w:qFormat/>
    <w:uiPriority w:val="0"/>
    <w:rPr>
      <w:rFonts w:ascii="黑体" w:hAnsi="黑体" w:eastAsia="黑体" w:cs="Times New Roman"/>
      <w:sz w:val="32"/>
      <w:lang w:val="en-US" w:eastAsia="zh-CN" w:bidi="ar-SA"/>
    </w:rPr>
  </w:style>
  <w:style w:type="paragraph" w:customStyle="1" w:styleId="94">
    <w:name w:val="前言、引言标题"/>
    <w:next w:val="4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95">
    <w:name w:val="WPSOffice手动目录 1"/>
    <w:qFormat/>
    <w:uiPriority w:val="0"/>
    <w:rPr>
      <w:rFonts w:ascii="Times New Roman" w:hAnsi="Times New Roman" w:eastAsia="宋体" w:cs="Times New Roman"/>
      <w:lang w:val="en-US" w:eastAsia="zh-CN" w:bidi="ar-SA"/>
    </w:rPr>
  </w:style>
  <w:style w:type="character" w:customStyle="1" w:styleId="96">
    <w:name w:val="批注文字 字符"/>
    <w:basedOn w:val="27"/>
    <w:link w:val="13"/>
    <w:qFormat/>
    <w:uiPriority w:val="0"/>
    <w:rPr>
      <w:rFonts w:asciiTheme="minorHAnsi" w:hAnsiTheme="minorHAnsi" w:eastAsiaTheme="minorEastAsia" w:cstheme="minorBidi"/>
      <w:sz w:val="21"/>
      <w:szCs w:val="22"/>
    </w:rPr>
  </w:style>
  <w:style w:type="character" w:customStyle="1" w:styleId="97">
    <w:name w:val="批注主题 字符"/>
    <w:basedOn w:val="96"/>
    <w:link w:val="24"/>
    <w:qFormat/>
    <w:uiPriority w:val="0"/>
    <w:rPr>
      <w:rFonts w:asciiTheme="minorHAnsi" w:hAnsiTheme="minorHAnsi" w:eastAsiaTheme="minorEastAsia" w:cstheme="minorBidi"/>
      <w:b/>
      <w:bCs/>
      <w:sz w:val="21"/>
      <w:szCs w:val="22"/>
    </w:rPr>
  </w:style>
  <w:style w:type="paragraph" w:customStyle="1" w:styleId="98">
    <w:name w:val="msonormal"/>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99">
    <w:name w:val="s0"/>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0">
    <w:name w:val="s1"/>
    <w:basedOn w:val="1"/>
    <w:qFormat/>
    <w:uiPriority w:val="0"/>
    <w:pPr>
      <w:widowControl/>
      <w:shd w:val="clear" w:color="auto" w:fill="E1EAFF"/>
      <w:spacing w:before="100" w:beforeAutospacing="1" w:after="100" w:afterAutospacing="1"/>
      <w:jc w:val="center"/>
    </w:pPr>
    <w:rPr>
      <w:rFonts w:ascii="宋体" w:hAnsi="宋体" w:eastAsia="宋体" w:cs="宋体"/>
      <w:b/>
      <w:bCs/>
      <w:sz w:val="28"/>
      <w:szCs w:val="28"/>
    </w:rPr>
  </w:style>
  <w:style w:type="paragraph" w:customStyle="1" w:styleId="101">
    <w:name w:val="s2"/>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2">
    <w:name w:val="s3"/>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03">
    <w:name w:val="s4"/>
    <w:basedOn w:val="1"/>
    <w:qFormat/>
    <w:uiPriority w:val="0"/>
    <w:pPr>
      <w:widowControl/>
      <w:spacing w:before="100" w:beforeAutospacing="1" w:after="100" w:afterAutospacing="1"/>
      <w:jc w:val="left"/>
    </w:pPr>
    <w:rPr>
      <w:rFonts w:ascii="宋体" w:hAnsi="宋体" w:eastAsia="宋体" w:cs="宋体"/>
      <w:color w:val="F54A45"/>
      <w:sz w:val="24"/>
      <w:szCs w:val="24"/>
    </w:rPr>
  </w:style>
  <w:style w:type="paragraph" w:customStyle="1" w:styleId="104">
    <w:name w:val="附录C的一级标题"/>
    <w:basedOn w:val="1"/>
    <w:qFormat/>
    <w:uiPriority w:val="0"/>
    <w:pPr>
      <w:numPr>
        <w:ilvl w:val="0"/>
        <w:numId w:val="21"/>
      </w:numPr>
      <w:spacing w:before="50" w:beforeLines="50" w:after="50" w:afterLines="50"/>
      <w:jc w:val="left"/>
    </w:pPr>
    <w:rPr>
      <w:rFonts w:hint="eastAsia" w:ascii="宋体" w:hAnsi="宋体" w:eastAsia="黑体" w:cs="宋体"/>
      <w:szCs w:val="21"/>
    </w:rPr>
  </w:style>
  <w:style w:type="paragraph" w:customStyle="1" w:styleId="105">
    <w:name w:val="附录E的一级标题"/>
    <w:basedOn w:val="1"/>
    <w:link w:val="106"/>
    <w:qFormat/>
    <w:uiPriority w:val="0"/>
    <w:pPr>
      <w:numPr>
        <w:ilvl w:val="0"/>
        <w:numId w:val="22"/>
      </w:numPr>
      <w:spacing w:before="50" w:beforeLines="50" w:after="50" w:afterLines="50"/>
      <w:jc w:val="left"/>
    </w:pPr>
    <w:rPr>
      <w:rFonts w:hint="eastAsia" w:ascii="宋体" w:hAnsi="宋体" w:eastAsia="黑体" w:cs="宋体"/>
      <w:szCs w:val="21"/>
    </w:rPr>
  </w:style>
  <w:style w:type="character" w:customStyle="1" w:styleId="106">
    <w:name w:val="附录E的一级标题 Char"/>
    <w:link w:val="105"/>
    <w:qFormat/>
    <w:uiPriority w:val="0"/>
    <w:rPr>
      <w:rFonts w:ascii="宋体" w:hAnsi="宋体" w:eastAsia="黑体" w:cs="宋体"/>
      <w:sz w:val="21"/>
      <w:szCs w:val="21"/>
    </w:rPr>
  </w:style>
  <w:style w:type="paragraph" w:customStyle="1" w:styleId="107">
    <w:name w:val="附录F"/>
    <w:basedOn w:val="1"/>
    <w:qFormat/>
    <w:uiPriority w:val="0"/>
    <w:pPr>
      <w:numPr>
        <w:ilvl w:val="0"/>
        <w:numId w:val="23"/>
      </w:numPr>
      <w:jc w:val="center"/>
      <w:outlineLvl w:val="0"/>
    </w:pPr>
    <w:rPr>
      <w:rFonts w:hint="eastAsia" w:ascii="Arial" w:hAnsi="Arial" w:eastAsia="黑体" w:cs="Arial"/>
    </w:rPr>
  </w:style>
  <w:style w:type="paragraph" w:styleId="108">
    <w:name w:val="List Paragraph"/>
    <w:basedOn w:val="1"/>
    <w:semiHidden/>
    <w:unhideWhenUsed/>
    <w:qFormat/>
    <w:uiPriority w:val="99"/>
    <w:pPr>
      <w:ind w:firstLine="420" w:firstLineChars="200"/>
    </w:pPr>
  </w:style>
  <w:style w:type="paragraph" w:customStyle="1" w:styleId="10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0">
    <w:name w:val="未处理的提及2"/>
    <w:basedOn w:val="27"/>
    <w:semiHidden/>
    <w:unhideWhenUsed/>
    <w:qFormat/>
    <w:uiPriority w:val="99"/>
    <w:rPr>
      <w:color w:val="605E5C"/>
      <w:shd w:val="clear" w:color="auto" w:fill="E1DFDD"/>
    </w:rPr>
  </w:style>
  <w:style w:type="character" w:customStyle="1" w:styleId="111">
    <w:name w:val="书籍标题1"/>
    <w:basedOn w:val="27"/>
    <w:qFormat/>
    <w:uiPriority w:val="33"/>
    <w:rPr>
      <w:b/>
      <w:bCs/>
      <w:i/>
      <w:iCs/>
      <w:spacing w:val="5"/>
    </w:rPr>
  </w:style>
  <w:style w:type="character" w:customStyle="1" w:styleId="112">
    <w:name w:val="明显参考1"/>
    <w:basedOn w:val="27"/>
    <w:qFormat/>
    <w:uiPriority w:val="32"/>
    <w:rPr>
      <w:b/>
      <w:bCs/>
      <w:smallCaps/>
      <w:color w:val="4F81BD" w:themeColor="accent1"/>
      <w:spacing w:val="5"/>
      <w14:textFill>
        <w14:solidFill>
          <w14:schemeClr w14:val="accent1"/>
        </w14:solidFill>
      </w14:textFill>
    </w:rPr>
  </w:style>
  <w:style w:type="character" w:customStyle="1" w:styleId="113">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14">
    <w:name w:val="font21"/>
    <w:basedOn w:val="27"/>
    <w:qFormat/>
    <w:uiPriority w:val="0"/>
    <w:rPr>
      <w:rFonts w:hint="eastAsia" w:ascii="宋体" w:hAnsi="宋体" w:eastAsia="宋体" w:cs="宋体"/>
      <w:color w:val="000000"/>
      <w:sz w:val="18"/>
      <w:szCs w:val="18"/>
      <w:u w:val="none"/>
    </w:rPr>
  </w:style>
  <w:style w:type="paragraph" w:customStyle="1" w:styleId="115">
    <w:name w:val="C4条文列表"/>
    <w:basedOn w:val="1"/>
    <w:link w:val="116"/>
    <w:qFormat/>
    <w:uiPriority w:val="0"/>
    <w:pPr>
      <w:numPr>
        <w:ilvl w:val="2"/>
        <w:numId w:val="24"/>
      </w:numPr>
      <w:spacing w:before="33" w:beforeLines="33" w:after="33" w:afterLines="33"/>
      <w:jc w:val="left"/>
    </w:pPr>
    <w:rPr>
      <w:rFonts w:hint="eastAsia" w:ascii="宋体" w:hAnsi="宋体" w:eastAsia="宋体"/>
    </w:rPr>
  </w:style>
  <w:style w:type="character" w:customStyle="1" w:styleId="116">
    <w:name w:val="C4条文列表 Char"/>
    <w:link w:val="115"/>
    <w:qFormat/>
    <w:uiPriority w:val="0"/>
    <w:rPr>
      <w:rFonts w:ascii="宋体" w:hAnsi="宋体" w:cstheme="minorBidi"/>
      <w:sz w:val="21"/>
      <w:szCs w:val="22"/>
    </w:rPr>
  </w:style>
  <w:style w:type="paragraph" w:customStyle="1" w:styleId="117">
    <w:name w:val="样式2"/>
    <w:basedOn w:val="1"/>
    <w:qFormat/>
    <w:uiPriority w:val="0"/>
  </w:style>
  <w:style w:type="paragraph" w:customStyle="1" w:styleId="1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标准文件_附录表标题"/>
    <w:next w:val="118"/>
    <w:qFormat/>
    <w:uiPriority w:val="0"/>
    <w:pPr>
      <w:numPr>
        <w:ilvl w:val="1"/>
        <w:numId w:val="2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table" w:customStyle="1" w:styleId="120">
    <w:name w:val="Table Normal11"/>
    <w:basedOn w:val="25"/>
    <w:qFormat/>
    <w:uiPriority w:val="0"/>
    <w:rPr>
      <w:rFonts w:eastAsia="Times New Roman"/>
    </w:rPr>
    <w:tblPr>
      <w:tblCellMar>
        <w:left w:w="0" w:type="dxa"/>
        <w:right w:w="0" w:type="dxa"/>
      </w:tblCellMar>
    </w:tblPr>
  </w:style>
  <w:style w:type="paragraph" w:customStyle="1" w:styleId="121">
    <w:name w:val="C5"/>
    <w:basedOn w:val="55"/>
    <w:qFormat/>
    <w:uiPriority w:val="0"/>
    <w:pPr>
      <w:numPr>
        <w:ilvl w:val="1"/>
        <w:numId w:val="24"/>
      </w:numPr>
      <w:spacing w:before="50" w:beforeLines="50" w:after="50" w:afterLines="50"/>
    </w:pPr>
    <w:rPr>
      <w:rFonts w:ascii="宋体" w:hAnsi="宋体" w:cs="宋体"/>
    </w:rPr>
  </w:style>
  <w:style w:type="paragraph" w:customStyle="1" w:styleId="122">
    <w:name w:val="标准文件_附录标识"/>
    <w:next w:val="118"/>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23">
    <w:name w:val="标准文件_附录三级条标题"/>
    <w:next w:val="118"/>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24">
    <w:name w:val="标准文件_附录四级条标题"/>
    <w:next w:val="118"/>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25">
    <w:name w:val="标准文件_附录五级条标题"/>
    <w:next w:val="118"/>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2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27">
    <w:name w:val="标准文件_附录一级条标题"/>
    <w:next w:val="118"/>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128">
    <w:name w:val="标准文件_附录二级条标题"/>
    <w:basedOn w:val="127"/>
    <w:next w:val="118"/>
    <w:qFormat/>
    <w:uiPriority w:val="0"/>
    <w:pPr>
      <w:widowControl/>
      <w:wordWrap w:val="0"/>
      <w:overflowPunct w:val="0"/>
      <w:autoSpaceDE w:val="0"/>
      <w:autoSpaceDN w:val="0"/>
      <w:outlineLvl w:val="3"/>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9427</Words>
  <Characters>10253</Characters>
  <Lines>371</Lines>
  <Paragraphs>429</Paragraphs>
  <TotalTime>288</TotalTime>
  <ScaleCrop>false</ScaleCrop>
  <LinksUpToDate>false</LinksUpToDate>
  <CharactersWithSpaces>10722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2025-07-08T15:57:00Z</dcterms:created>
  <dc:creator>Apache POI</dc:creator>
  <cp:lastModifiedBy>Kathy 敏</cp:lastModifiedBy>
  <cp:lastPrinted>2024-10-31T16:32:00Z</cp:lastPrinted>
  <dcterms:modified xsi:type="dcterms:W3CDTF">2025-12-30T06:12:28Z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3581DC57EB6E49068FB8D7D88A7501E6_13</vt:lpwstr>
  </property>
  <property fmtid="{D5CDD505-2E9C-101B-9397-08002B2CF9AE}" pid="4" name="KSOTemplateDocerSaveRecord">
    <vt:lpwstr>eyJoZGlkIjoiMjk2ZGZmMzI3ZDEyZTNmYTRlYzFlYmMwODMzNWEyNjciLCJ1c2VySWQiOiI3MTQ3Nzc1MjIifQ==</vt:lpwstr>
  </property>
</Properties>
</file>