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2"/>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7CD23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019AAB80">
            <w:pPr>
              <w:pStyle w:val="21"/>
              <w:framePr w:wrap="notBeside" w:vAnchor="page" w:hAnchor="page" w:x="1372" w:y="568"/>
              <w:tabs>
                <w:tab w:val="clear" w:pos="4153"/>
                <w:tab w:val="clear" w:pos="8306"/>
              </w:tabs>
              <w:spacing w:line="240" w:lineRule="auto"/>
              <w:jc w:val="left"/>
              <w:rPr>
                <w:rFonts w:ascii="黑体" w:hAnsi="黑体" w:eastAsia="黑体"/>
                <w:color w:val="auto"/>
                <w:sz w:val="21"/>
                <w:szCs w:val="21"/>
              </w:rPr>
            </w:pPr>
            <w:r>
              <w:rPr>
                <w:rFonts w:ascii="黑体" w:hAnsi="黑体" w:eastAsia="黑体"/>
                <w:color w:val="auto"/>
                <w:sz w:val="21"/>
                <w:szCs w:val="21"/>
              </w:rPr>
              <w:t xml:space="preserve">ICS  </w:t>
            </w:r>
          </w:p>
        </w:tc>
        <w:tc>
          <w:tcPr>
            <w:tcW w:w="8855" w:type="dxa"/>
          </w:tcPr>
          <w:p w14:paraId="0A6DAB28">
            <w:pPr>
              <w:pStyle w:val="21"/>
              <w:framePr w:wrap="notBeside" w:vAnchor="page" w:hAnchor="page" w:x="1372" w:y="568"/>
              <w:tabs>
                <w:tab w:val="clear" w:pos="4153"/>
                <w:tab w:val="clear" w:pos="8306"/>
              </w:tabs>
              <w:spacing w:line="240" w:lineRule="auto"/>
              <w:jc w:val="both"/>
              <w:rPr>
                <w:rFonts w:hint="eastAsia" w:ascii="黑体" w:hAnsi="黑体" w:eastAsia="宋体"/>
                <w:color w:val="auto"/>
                <w:sz w:val="21"/>
                <w:szCs w:val="21"/>
                <w:lang w:eastAsia="zh-CN"/>
              </w:rPr>
            </w:pPr>
            <w:r>
              <w:rPr>
                <w:rStyle w:val="34"/>
                <w:rFonts w:hint="eastAsia" w:ascii="黑体" w:hAnsi="黑体" w:eastAsia="黑体" w:cs="黑体"/>
                <w:i w:val="0"/>
                <w:iCs w:val="0"/>
                <w:caps w:val="0"/>
                <w:color w:val="auto"/>
                <w:spacing w:val="0"/>
                <w:sz w:val="21"/>
                <w:szCs w:val="21"/>
                <w:shd w:val="clear" w:fill="FFFFFF"/>
              </w:rPr>
              <w:t>93.030</w:t>
            </w:r>
          </w:p>
        </w:tc>
      </w:tr>
      <w:tr w14:paraId="2B4B4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D14080A">
            <w:pPr>
              <w:pStyle w:val="21"/>
              <w:framePr w:wrap="notBeside" w:vAnchor="page" w:hAnchor="page" w:x="1372" w:y="568"/>
              <w:tabs>
                <w:tab w:val="clear" w:pos="4153"/>
                <w:tab w:val="clear" w:pos="8306"/>
              </w:tabs>
              <w:spacing w:before="40" w:line="240" w:lineRule="auto"/>
              <w:jc w:val="left"/>
              <w:rPr>
                <w:rFonts w:ascii="黑体" w:hAnsi="黑体" w:eastAsia="黑体"/>
                <w:color w:val="auto"/>
                <w:sz w:val="21"/>
                <w:szCs w:val="21"/>
              </w:rPr>
            </w:pPr>
            <w:r>
              <w:rPr>
                <w:rFonts w:ascii="黑体" w:hAnsi="黑体" w:eastAsia="黑体"/>
                <w:color w:val="auto"/>
                <w:sz w:val="21"/>
                <w:szCs w:val="21"/>
              </w:rPr>
              <w:t xml:space="preserve">CCS  </w:t>
            </w:r>
          </w:p>
        </w:tc>
        <w:tc>
          <w:tcPr>
            <w:tcW w:w="8855" w:type="dxa"/>
          </w:tcPr>
          <w:p w14:paraId="5B0DF6E8">
            <w:pPr>
              <w:pStyle w:val="21"/>
              <w:framePr w:wrap="notBeside" w:vAnchor="page" w:hAnchor="page" w:x="1372" w:y="568"/>
              <w:tabs>
                <w:tab w:val="clear" w:pos="4153"/>
                <w:tab w:val="clear" w:pos="8306"/>
              </w:tabs>
              <w:spacing w:before="40" w:line="240" w:lineRule="auto"/>
              <w:jc w:val="left"/>
              <w:rPr>
                <w:rFonts w:hint="default" w:ascii="黑体" w:hAnsi="黑体" w:eastAsia="黑体"/>
                <w:color w:val="auto"/>
                <w:sz w:val="21"/>
                <w:szCs w:val="21"/>
                <w:lang w:val="en-US" w:eastAsia="zh-CN"/>
              </w:rPr>
            </w:pPr>
            <w:r>
              <w:rPr>
                <w:rFonts w:hint="eastAsia" w:ascii="黑体" w:hAnsi="黑体" w:eastAsia="黑体"/>
                <w:color w:val="auto"/>
                <w:sz w:val="21"/>
                <w:szCs w:val="21"/>
                <w:lang w:val="en-US" w:eastAsia="zh-CN"/>
              </w:rPr>
              <w:t>P41</w:t>
            </w:r>
          </w:p>
        </w:tc>
      </w:tr>
    </w:tbl>
    <w:tbl>
      <w:tblPr>
        <w:tblStyle w:val="32"/>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1209098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14:paraId="0629CC45">
            <w:pPr>
              <w:pStyle w:val="59"/>
              <w:framePr w:w="0" w:hRule="auto" w:wrap="auto" w:vAnchor="margin" w:hAnchor="text" w:xAlign="left" w:yAlign="inline"/>
              <w:rPr>
                <w:rFonts w:ascii="宋体" w:hAnsi="宋体"/>
                <w:color w:val="auto"/>
                <w:sz w:val="28"/>
                <w:szCs w:val="28"/>
              </w:rPr>
            </w:pPr>
            <w:bookmarkStart w:id="0" w:name="_Hlk26473981"/>
            <w:r>
              <w:rPr>
                <w:rFonts w:hint="eastAsia"/>
                <w:color w:val="auto"/>
              </w:rPr>
              <w:t>DB</w:t>
            </w:r>
            <w:r>
              <w:rPr>
                <w:color w:val="auto"/>
              </w:rPr>
              <w:fldChar w:fldCharType="begin">
                <w:ffData>
                  <w:name w:val="c1"/>
                  <w:enabled/>
                  <w:calcOnExit w:val="0"/>
                  <w:textInput>
                    <w:maxLength w:val="8"/>
                  </w:textInput>
                </w:ffData>
              </w:fldChar>
            </w:r>
            <w:bookmarkStart w:id="1" w:name="c1"/>
            <w:r>
              <w:rPr>
                <w:color w:val="auto"/>
              </w:rPr>
              <w:instrText xml:space="preserve"> FORMTEXT </w:instrText>
            </w:r>
            <w:r>
              <w:rPr>
                <w:color w:val="auto"/>
              </w:rPr>
              <w:fldChar w:fldCharType="separate"/>
            </w:r>
            <w:r>
              <w:rPr>
                <w:color w:val="auto"/>
              </w:rPr>
              <w:t>42</w:t>
            </w:r>
            <w:r>
              <w:rPr>
                <w:color w:val="auto"/>
              </w:rPr>
              <w:fldChar w:fldCharType="end"/>
            </w:r>
            <w:bookmarkEnd w:id="1"/>
          </w:p>
        </w:tc>
      </w:tr>
    </w:tbl>
    <w:p w14:paraId="11B53E85">
      <w:pPr>
        <w:pStyle w:val="60"/>
        <w:framePr w:w="9639" w:h="624" w:hRule="exact" w:hSpace="181" w:vSpace="181" w:wrap="around" w:hAnchor="page" w:x="1305" w:y="2269"/>
        <w:rPr>
          <w:rFonts w:ascii="黑体" w:hAnsi="黑体" w:eastAsia="黑体"/>
          <w:b w:val="0"/>
          <w:bCs w:val="0"/>
          <w:color w:val="auto"/>
          <w:w w:val="100"/>
          <w:sz w:val="48"/>
          <w:szCs w:val="48"/>
        </w:rPr>
      </w:pPr>
      <w:r>
        <w:rPr>
          <w:rFonts w:ascii="黑体" w:eastAsia="黑体"/>
          <w:b w:val="0"/>
          <w:color w:val="auto"/>
          <w:w w:val="100"/>
          <w:sz w:val="48"/>
        </w:rPr>
        <w:fldChar w:fldCharType="begin">
          <w:ffData>
            <w:name w:val="c2"/>
            <w:enabled/>
            <w:calcOnExit w:val="0"/>
            <w:textInput/>
          </w:ffData>
        </w:fldChar>
      </w:r>
      <w:bookmarkStart w:id="2" w:name="c2"/>
      <w:r>
        <w:rPr>
          <w:rFonts w:ascii="黑体" w:eastAsia="黑体"/>
          <w:b w:val="0"/>
          <w:color w:val="auto"/>
          <w:w w:val="100"/>
          <w:sz w:val="48"/>
        </w:rPr>
        <w:instrText xml:space="preserve"> FORMTEXT </w:instrText>
      </w:r>
      <w:r>
        <w:rPr>
          <w:rFonts w:ascii="黑体" w:eastAsia="黑体"/>
          <w:b w:val="0"/>
          <w:color w:val="auto"/>
          <w:w w:val="100"/>
          <w:sz w:val="48"/>
        </w:rPr>
        <w:fldChar w:fldCharType="separate"/>
      </w:r>
      <w:r>
        <w:rPr>
          <w:rFonts w:hint="eastAsia" w:ascii="黑体" w:eastAsia="黑体"/>
          <w:b w:val="0"/>
          <w:color w:val="auto"/>
          <w:w w:val="100"/>
          <w:sz w:val="48"/>
        </w:rPr>
        <w:t>湖北省</w:t>
      </w:r>
      <w:r>
        <w:rPr>
          <w:rFonts w:ascii="黑体" w:eastAsia="黑体"/>
          <w:b w:val="0"/>
          <w:color w:val="auto"/>
          <w:w w:val="100"/>
          <w:sz w:val="48"/>
        </w:rPr>
        <w:fldChar w:fldCharType="end"/>
      </w:r>
      <w:bookmarkEnd w:id="2"/>
      <w:r>
        <w:rPr>
          <w:rFonts w:hint="eastAsia" w:ascii="黑体" w:hAnsi="黑体" w:eastAsia="黑体"/>
          <w:b w:val="0"/>
          <w:bCs w:val="0"/>
          <w:color w:val="auto"/>
          <w:w w:val="100"/>
          <w:sz w:val="48"/>
          <w:szCs w:val="48"/>
        </w:rPr>
        <w:t>地方标准</w:t>
      </w:r>
    </w:p>
    <w:bookmarkEnd w:id="0"/>
    <w:p w14:paraId="3BEEC0CF">
      <w:pPr>
        <w:pStyle w:val="205"/>
        <w:rPr>
          <w:rFonts w:hint="eastAsia" w:eastAsia="黑体"/>
          <w:color w:val="auto"/>
          <w:lang w:eastAsia="zh-CN"/>
        </w:rPr>
      </w:pPr>
      <w:r>
        <w:rPr>
          <w:color w:val="auto"/>
          <w:lang w:val="fr-FR"/>
        </w:rPr>
        <w:t>DB</w:t>
      </w:r>
      <w:bookmarkStart w:id="3" w:name="文字1"/>
      <w:r>
        <w:rPr>
          <w:color w:val="auto"/>
          <w:lang w:val="fr-FR"/>
        </w:rPr>
        <w:fldChar w:fldCharType="begin">
          <w:ffData>
            <w:name w:val="文字1"/>
            <w:enabled/>
            <w:calcOnExit w:val="0"/>
            <w:textInput>
              <w:default w:val="XX/T"/>
            </w:textInput>
          </w:ffData>
        </w:fldChar>
      </w:r>
      <w:r>
        <w:rPr>
          <w:color w:val="auto"/>
          <w:lang w:val="fr-FR"/>
        </w:rPr>
        <w:instrText xml:space="preserve">FORMTEXT</w:instrText>
      </w:r>
      <w:r>
        <w:rPr>
          <w:color w:val="auto"/>
          <w:lang w:val="fr-FR"/>
        </w:rPr>
        <w:fldChar w:fldCharType="separate"/>
      </w:r>
      <w:r>
        <w:rPr>
          <w:color w:val="auto"/>
          <w:lang w:val="fr-FR"/>
        </w:rPr>
        <w:t>XX/T</w:t>
      </w:r>
      <w:r>
        <w:rPr>
          <w:color w:val="auto"/>
          <w:lang w:val="fr-FR"/>
        </w:rPr>
        <w:fldChar w:fldCharType="end"/>
      </w:r>
      <w:bookmarkEnd w:id="3"/>
      <w:r>
        <w:rPr>
          <w:color w:val="auto"/>
          <w:lang w:val="fr-FR"/>
        </w:rPr>
        <w:t xml:space="preserve"> </w:t>
      </w:r>
      <w:bookmarkStart w:id="4" w:name="NSTD_CODE_F"/>
      <w:r>
        <w:rPr>
          <w:color w:val="auto"/>
          <w:lang w:val="fr-FR"/>
        </w:rPr>
        <w:fldChar w:fldCharType="begin">
          <w:ffData>
            <w:name w:val="NSTD_CODE_F"/>
            <w:enabled/>
            <w:calcOnExit w:val="0"/>
            <w:textInput>
              <w:default w:val="XXXX"/>
            </w:textInput>
          </w:ffData>
        </w:fldChar>
      </w:r>
      <w:r>
        <w:rPr>
          <w:color w:val="auto"/>
          <w:lang w:val="fr-FR"/>
        </w:rPr>
        <w:instrText xml:space="preserve">FORMTEXT</w:instrText>
      </w:r>
      <w:r>
        <w:rPr>
          <w:color w:val="auto"/>
          <w:lang w:val="fr-FR"/>
        </w:rPr>
        <w:fldChar w:fldCharType="separate"/>
      </w:r>
      <w:r>
        <w:rPr>
          <w:color w:val="auto"/>
          <w:lang w:val="fr-FR"/>
        </w:rPr>
        <w:t>XXXX</w:t>
      </w:r>
      <w:r>
        <w:rPr>
          <w:color w:val="auto"/>
          <w:lang w:val="fr-FR"/>
        </w:rPr>
        <w:fldChar w:fldCharType="end"/>
      </w:r>
      <w:bookmarkEnd w:id="4"/>
      <w:r>
        <w:rPr>
          <w:rFonts w:hAnsi="黑体"/>
          <w:color w:val="auto"/>
          <w:lang w:val="fr-FR"/>
        </w:rPr>
        <w:t>—</w:t>
      </w:r>
      <w:r>
        <w:rPr>
          <w:color w:val="auto"/>
        </w:rPr>
        <w:fldChar w:fldCharType="begin">
          <w:ffData>
            <w:name w:val="NSTD_CODE_B"/>
            <w:enabled/>
            <w:calcOnExit w:val="0"/>
            <w:textInput>
              <w:default w:val="XXXX"/>
            </w:textInput>
          </w:ffData>
        </w:fldChar>
      </w:r>
      <w:bookmarkStart w:id="5" w:name="NSTD_CODE_B"/>
      <w:r>
        <w:rPr>
          <w:color w:val="auto"/>
          <w:lang w:val="fr-FR"/>
        </w:rPr>
        <w:instrText xml:space="preserve"> FORMTEXT </w:instrText>
      </w:r>
      <w:r>
        <w:rPr>
          <w:color w:val="auto"/>
        </w:rPr>
        <w:fldChar w:fldCharType="separate"/>
      </w:r>
      <w:r>
        <w:rPr>
          <w:color w:val="auto"/>
        </w:rPr>
        <w:t>202</w:t>
      </w:r>
      <w:r>
        <w:rPr>
          <w:color w:val="auto"/>
        </w:rPr>
        <w:fldChar w:fldCharType="end"/>
      </w:r>
      <w:bookmarkEnd w:id="5"/>
      <w:r>
        <w:rPr>
          <w:rFonts w:hint="eastAsia"/>
          <w:color w:val="auto"/>
          <w:lang w:val="en-US" w:eastAsia="zh-CN"/>
        </w:rPr>
        <w:t>5</w:t>
      </w:r>
    </w:p>
    <w:p w14:paraId="1A115498">
      <w:pPr>
        <w:pStyle w:val="206"/>
        <w:rPr>
          <w:rFonts w:hAnsi="黑体"/>
          <w:color w:val="auto"/>
        </w:rPr>
      </w:pPr>
      <w:r>
        <w:rPr>
          <w:rFonts w:hAnsi="黑体"/>
          <w:color w:val="auto"/>
        </w:rPr>
        <w:fldChar w:fldCharType="begin">
          <w:ffData>
            <w:name w:val="OSTD_CODE"/>
            <w:enabled/>
            <w:calcOnExit w:val="0"/>
            <w:textInput/>
          </w:ffData>
        </w:fldChar>
      </w:r>
      <w:bookmarkStart w:id="6" w:name="OSTD_CODE"/>
      <w:r>
        <w:rPr>
          <w:rFonts w:hAnsi="黑体"/>
          <w:color w:val="auto"/>
        </w:rPr>
        <w:instrText xml:space="preserve"> FORMTEXT </w:instrText>
      </w:r>
      <w:r>
        <w:rPr>
          <w:rFonts w:hAnsi="黑体"/>
          <w:color w:val="auto"/>
        </w:rPr>
        <w:fldChar w:fldCharType="separate"/>
      </w:r>
      <w:r>
        <w:rPr>
          <w:rFonts w:hAnsi="黑体"/>
          <w:color w:val="auto"/>
        </w:rPr>
        <w:t>     </w:t>
      </w:r>
      <w:r>
        <w:rPr>
          <w:rFonts w:hAnsi="黑体"/>
          <w:color w:val="auto"/>
        </w:rPr>
        <w:fldChar w:fldCharType="end"/>
      </w:r>
      <w:bookmarkEnd w:id="6"/>
    </w:p>
    <w:p w14:paraId="46328545">
      <w:pPr>
        <w:spacing w:line="240" w:lineRule="auto"/>
        <w:rPr>
          <w:rFonts w:ascii="黑体" w:hAnsi="黑体" w:eastAsia="黑体"/>
          <w:color w:val="auto"/>
          <w:kern w:val="0"/>
          <w:sz w:val="10"/>
          <w:szCs w:val="10"/>
        </w:rPr>
      </w:pPr>
      <w:r>
        <w:rPr>
          <w:rFonts w:ascii="黑体" w:hAnsi="黑体" w:eastAsia="黑体"/>
          <w:color w:val="auto"/>
          <w:kern w:val="0"/>
          <w:sz w:val="10"/>
          <w:szCs w:val="10"/>
        </w:rPr>
        <mc:AlternateContent>
          <mc:Choice Requires="wps">
            <w:drawing>
              <wp:anchor distT="0" distB="0" distL="114300" distR="114300" simplePos="0" relativeHeight="251661312"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1312;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0FA3DF2">
      <w:pPr>
        <w:pStyle w:val="60"/>
        <w:framePr w:w="9639" w:h="6976" w:hRule="exact" w:hSpace="0" w:vSpace="0" w:wrap="around" w:hAnchor="page" w:y="6408"/>
        <w:jc w:val="center"/>
        <w:rPr>
          <w:rFonts w:ascii="黑体" w:hAnsi="黑体" w:eastAsia="黑体"/>
          <w:b w:val="0"/>
          <w:bCs w:val="0"/>
          <w:color w:val="auto"/>
          <w:w w:val="100"/>
        </w:rPr>
      </w:pPr>
    </w:p>
    <w:p w14:paraId="38B19779">
      <w:pPr>
        <w:pStyle w:val="207"/>
        <w:framePr w:h="6974" w:hRule="exact" w:wrap="around" w:x="1433" w:y="5094" w:anchorLock="1"/>
        <w:rPr>
          <w:color w:val="auto"/>
        </w:rPr>
      </w:pPr>
    </w:p>
    <w:p w14:paraId="40E9BFA2">
      <w:pPr>
        <w:pStyle w:val="207"/>
        <w:framePr w:h="6974" w:hRule="exact" w:wrap="around" w:x="1433" w:y="5094" w:anchorLock="1"/>
        <w:rPr>
          <w:color w:val="auto"/>
        </w:rPr>
      </w:pPr>
    </w:p>
    <w:p w14:paraId="0EB4EC4D">
      <w:pPr>
        <w:pStyle w:val="207"/>
        <w:framePr w:h="6974" w:hRule="exact" w:wrap="around" w:x="1433" w:y="5094" w:anchorLock="1"/>
        <w:rPr>
          <w:color w:val="auto"/>
        </w:rPr>
      </w:pPr>
      <w:r>
        <w:rPr>
          <w:rFonts w:hint="eastAsia"/>
          <w:color w:val="auto"/>
        </w:rPr>
        <w:t>排水系统工程数智清污分流技术标准</w:t>
      </w:r>
    </w:p>
    <w:p w14:paraId="0B5A53D9">
      <w:pPr>
        <w:framePr w:w="9639" w:h="6974" w:hRule="exact" w:wrap="around" w:vAnchor="page" w:hAnchor="page" w:x="1433" w:y="5094" w:anchorLock="1"/>
        <w:ind w:left="-1418"/>
        <w:rPr>
          <w:color w:val="auto"/>
        </w:rPr>
      </w:pPr>
    </w:p>
    <w:p w14:paraId="04776098">
      <w:pPr>
        <w:pStyle w:val="135"/>
        <w:framePr w:w="9639" w:h="6974" w:hRule="exact" w:wrap="around" w:vAnchor="page" w:hAnchor="page" w:x="1433" w:y="5094" w:anchorLock="1"/>
        <w:textAlignment w:val="bottom"/>
        <w:rPr>
          <w:rFonts w:eastAsia="黑体"/>
          <w:color w:val="auto"/>
          <w:szCs w:val="28"/>
        </w:rPr>
      </w:pPr>
      <w:r>
        <w:rPr>
          <w:rFonts w:ascii="Arial Rounded MT Bold" w:hAnsi="Arial Rounded MT Bold" w:eastAsia="黑体" w:cs="Arial Rounded MT Bold"/>
          <w:color w:val="auto"/>
          <w:szCs w:val="28"/>
        </w:rPr>
        <w:fldChar w:fldCharType="begin">
          <w:ffData>
            <w:name w:val="StdEnglishName"/>
            <w:enabled/>
            <w:calcOnExit w:val="0"/>
            <w:textInput>
              <w:default w:val="The Technical Standards for Smart Clean and Sewage Diversion Drainage System"/>
            </w:textInput>
          </w:ffData>
        </w:fldChar>
      </w:r>
      <w:bookmarkStart w:id="7" w:name="StdEnglishName"/>
      <w:r>
        <w:rPr>
          <w:rFonts w:ascii="Arial Rounded MT Bold" w:hAnsi="Arial Rounded MT Bold" w:eastAsia="黑体" w:cs="Arial Rounded MT Bold"/>
          <w:color w:val="auto"/>
          <w:szCs w:val="28"/>
        </w:rPr>
        <w:instrText xml:space="preserve"> FORMTEXT </w:instrText>
      </w:r>
      <w:r>
        <w:rPr>
          <w:rFonts w:ascii="Arial Rounded MT Bold" w:hAnsi="Arial Rounded MT Bold" w:eastAsia="黑体" w:cs="Arial Rounded MT Bold"/>
          <w:color w:val="auto"/>
          <w:szCs w:val="28"/>
        </w:rPr>
        <w:fldChar w:fldCharType="separate"/>
      </w:r>
      <w:r>
        <w:rPr>
          <w:rFonts w:ascii="Arial Rounded MT Bold" w:hAnsi="Arial Rounded MT Bold" w:eastAsia="黑体" w:cs="Arial Rounded MT Bold"/>
          <w:color w:val="auto"/>
          <w:szCs w:val="28"/>
        </w:rPr>
        <w:t>The Technical Standards for Smart Clean and Sewage Diversion Drainage System</w:t>
      </w:r>
      <w:r>
        <w:rPr>
          <w:rFonts w:ascii="Arial Rounded MT Bold" w:hAnsi="Arial Rounded MT Bold" w:eastAsia="黑体" w:cs="Arial Rounded MT Bold"/>
          <w:color w:val="auto"/>
          <w:szCs w:val="28"/>
        </w:rPr>
        <w:fldChar w:fldCharType="end"/>
      </w:r>
      <w:bookmarkEnd w:id="7"/>
    </w:p>
    <w:p w14:paraId="2725AFDA">
      <w:pPr>
        <w:framePr w:w="9639" w:h="6974" w:hRule="exact" w:wrap="around" w:vAnchor="page" w:hAnchor="page" w:x="1433" w:y="5094" w:anchorLock="1"/>
        <w:spacing w:line="760" w:lineRule="exact"/>
        <w:ind w:left="-1418"/>
        <w:rPr>
          <w:color w:val="auto"/>
        </w:rPr>
      </w:pPr>
    </w:p>
    <w:p w14:paraId="2E333AD7">
      <w:pPr>
        <w:pStyle w:val="135"/>
        <w:framePr w:w="9639" w:h="6974" w:hRule="exact" w:wrap="around" w:vAnchor="page" w:hAnchor="page" w:x="1433" w:y="5094" w:anchorLock="1"/>
        <w:spacing w:before="180" w:line="240" w:lineRule="atLeast"/>
        <w:textAlignment w:val="bottom"/>
        <w:rPr>
          <w:color w:val="auto"/>
          <w:sz w:val="21"/>
          <w:szCs w:val="28"/>
        </w:rPr>
      </w:pPr>
      <w:r>
        <w:rPr>
          <w:rFonts w:ascii="Times New Roman" w:hAnsi="Times New Roman" w:eastAsia="宋体" w:cs="Times New Roman"/>
          <w:color w:val="auto"/>
          <w:sz w:val="21"/>
          <w:szCs w:val="28"/>
          <w:lang w:val="en-US" w:eastAsia="zh-CN" w:bidi="ar-SA"/>
        </w:rPr>
        <w:fldChar w:fldCharType="begin">
          <w:ffData>
            <w:name w:val="CMPLSH_DATE"/>
            <w:enabled/>
            <w:calcOnExit w:val="0"/>
            <w:textInput>
              <w:default w:val="征求意见稿"/>
            </w:textInput>
          </w:ffData>
        </w:fldChar>
      </w:r>
      <w:r>
        <w:rPr>
          <w:rFonts w:ascii="Times New Roman" w:hAnsi="Times New Roman" w:eastAsia="宋体" w:cs="Times New Roman"/>
          <w:color w:val="auto"/>
          <w:sz w:val="21"/>
          <w:szCs w:val="28"/>
          <w:lang w:val="en-US" w:eastAsia="zh-CN" w:bidi="ar-SA"/>
        </w:rPr>
        <w:instrText xml:space="preserve">FORMTEXT</w:instrText>
      </w:r>
      <w:r>
        <w:rPr>
          <w:rFonts w:ascii="Times New Roman" w:hAnsi="Times New Roman" w:eastAsia="宋体" w:cs="Times New Roman"/>
          <w:color w:val="auto"/>
          <w:sz w:val="21"/>
          <w:szCs w:val="28"/>
          <w:lang w:val="en-US" w:eastAsia="zh-CN" w:bidi="ar-SA"/>
        </w:rPr>
        <w:fldChar w:fldCharType="separate"/>
      </w:r>
      <w:r>
        <w:rPr>
          <w:rFonts w:ascii="Times New Roman" w:hAnsi="Times New Roman" w:eastAsia="宋体" w:cs="Times New Roman"/>
          <w:color w:val="auto"/>
          <w:sz w:val="21"/>
          <w:szCs w:val="28"/>
          <w:lang w:val="en-US" w:eastAsia="zh-CN" w:bidi="ar-SA"/>
        </w:rPr>
        <w:t>征求意见稿</w:t>
      </w:r>
      <w:r>
        <w:rPr>
          <w:rFonts w:ascii="Times New Roman" w:hAnsi="Times New Roman" w:eastAsia="宋体" w:cs="Times New Roman"/>
          <w:color w:val="auto"/>
          <w:sz w:val="21"/>
          <w:szCs w:val="28"/>
          <w:lang w:val="en-US" w:eastAsia="zh-CN" w:bidi="ar-SA"/>
        </w:rPr>
        <w:fldChar w:fldCharType="end"/>
      </w:r>
    </w:p>
    <w:p w14:paraId="3F5FEF81">
      <w:pPr>
        <w:pStyle w:val="203"/>
        <w:framePr w:wrap="around" w:y="14176"/>
        <w:rPr>
          <w:color w:val="auto"/>
        </w:rPr>
      </w:pPr>
      <w:r>
        <w:rPr>
          <w:rFonts w:ascii="黑体"/>
          <w:color w:val="auto"/>
        </w:rPr>
        <w:t>202</w:t>
      </w:r>
      <w:r>
        <w:rPr>
          <w:rFonts w:hint="eastAsia" w:ascii="黑体"/>
          <w:color w:val="auto"/>
          <w:lang w:val="en-US" w:eastAsia="zh-CN"/>
        </w:rPr>
        <w:t>5</w:t>
      </w:r>
      <w:r>
        <w:rPr>
          <w:color w:val="auto"/>
        </w:rPr>
        <w:t xml:space="preserve"> </w:t>
      </w:r>
      <w:r>
        <w:rPr>
          <w:rFonts w:ascii="黑体"/>
          <w:color w:val="auto"/>
        </w:rPr>
        <w:t>-</w:t>
      </w:r>
      <w:r>
        <w:rPr>
          <w:color w:val="auto"/>
        </w:rPr>
        <w:t xml:space="preserve"> </w:t>
      </w:r>
      <w:r>
        <w:rPr>
          <w:rFonts w:hint="eastAsia" w:ascii="黑体"/>
          <w:color w:val="auto"/>
        </w:rPr>
        <w:t>XX</w:t>
      </w:r>
      <w:r>
        <w:rPr>
          <w:rFonts w:ascii="黑体"/>
          <w:color w:val="auto"/>
        </w:rPr>
        <w:t>-</w:t>
      </w:r>
      <w:r>
        <w:rPr>
          <w:color w:val="auto"/>
        </w:rPr>
        <w:t xml:space="preserve"> </w:t>
      </w:r>
      <w:r>
        <w:rPr>
          <w:rFonts w:hint="eastAsia"/>
          <w:color w:val="auto"/>
        </w:rPr>
        <w:t>XX发布</w:t>
      </w:r>
    </w:p>
    <w:p w14:paraId="4EEB7112">
      <w:pPr>
        <w:pStyle w:val="204"/>
        <w:framePr w:wrap="around" w:y="14176"/>
        <w:rPr>
          <w:color w:val="auto"/>
        </w:rPr>
      </w:pPr>
      <w:r>
        <w:rPr>
          <w:rFonts w:ascii="黑体"/>
          <w:color w:val="auto"/>
        </w:rPr>
        <w:t>202</w:t>
      </w:r>
      <w:r>
        <w:rPr>
          <w:rFonts w:hint="eastAsia" w:ascii="黑体"/>
          <w:color w:val="auto"/>
          <w:lang w:val="en-US" w:eastAsia="zh-CN"/>
        </w:rPr>
        <w:t>5</w:t>
      </w:r>
      <w:r>
        <w:rPr>
          <w:color w:val="auto"/>
        </w:rPr>
        <w:t xml:space="preserve"> </w:t>
      </w:r>
      <w:r>
        <w:rPr>
          <w:rFonts w:ascii="黑体"/>
          <w:color w:val="auto"/>
        </w:rPr>
        <w:t>-</w:t>
      </w:r>
      <w:r>
        <w:rPr>
          <w:color w:val="auto"/>
        </w:rPr>
        <w:t xml:space="preserve"> </w:t>
      </w:r>
      <w:r>
        <w:rPr>
          <w:rFonts w:hint="eastAsia" w:ascii="黑体"/>
          <w:color w:val="auto"/>
        </w:rPr>
        <w:t>XX</w:t>
      </w:r>
      <w:r>
        <w:rPr>
          <w:rFonts w:ascii="黑体"/>
          <w:color w:val="auto"/>
        </w:rPr>
        <w:t>-</w:t>
      </w:r>
      <w:r>
        <w:rPr>
          <w:color w:val="auto"/>
        </w:rPr>
        <w:t xml:space="preserve"> </w:t>
      </w:r>
      <w:r>
        <w:rPr>
          <w:rFonts w:hint="eastAsia"/>
          <w:color w:val="auto"/>
        </w:rPr>
        <w:t>XX实施</w:t>
      </w:r>
    </w:p>
    <w:p w14:paraId="3CC8C63F">
      <w:pPr>
        <w:pStyle w:val="161"/>
        <w:framePr w:w="4113" w:h="856" w:hRule="exact" w:hSpace="181" w:vSpace="181" w:wrap="around" w:vAnchor="page" w:hAnchor="page" w:x="3060" w:y="14836"/>
        <w:spacing w:line="400" w:lineRule="exact"/>
        <w:jc w:val="distribute"/>
        <w:rPr>
          <w:rFonts w:hAnsi="黑体"/>
          <w:color w:val="auto"/>
          <w:w w:val="100"/>
          <w:sz w:val="32"/>
          <w:szCs w:val="32"/>
        </w:rPr>
      </w:pPr>
      <w:r>
        <w:rPr>
          <w:rFonts w:hint="eastAsia" w:hAnsi="黑体"/>
          <w:color w:val="auto"/>
          <w:w w:val="100"/>
          <w:sz w:val="32"/>
          <w:szCs w:val="32"/>
        </w:rPr>
        <w:t>湖北省住房和城乡建设厅</w:t>
      </w:r>
    </w:p>
    <w:p w14:paraId="64771069">
      <w:pPr>
        <w:pStyle w:val="161"/>
        <w:framePr w:w="4113" w:h="856" w:hRule="exact" w:hSpace="181" w:vSpace="181" w:wrap="around" w:vAnchor="page" w:hAnchor="page" w:x="3060" w:y="14836"/>
        <w:spacing w:line="400" w:lineRule="exact"/>
        <w:jc w:val="distribute"/>
        <w:rPr>
          <w:rFonts w:hAnsi="黑体"/>
          <w:color w:val="auto"/>
          <w:w w:val="100"/>
          <w:sz w:val="32"/>
          <w:szCs w:val="32"/>
        </w:rPr>
      </w:pPr>
      <w:r>
        <w:rPr>
          <w:rFonts w:hint="eastAsia" w:hAnsi="黑体"/>
          <w:color w:val="auto"/>
          <w:w w:val="100"/>
          <w:sz w:val="32"/>
          <w:szCs w:val="32"/>
        </w:rPr>
        <w:t>湖北省市场监督管理局</w:t>
      </w:r>
    </w:p>
    <w:p w14:paraId="2AF893E0">
      <w:pPr>
        <w:pStyle w:val="161"/>
        <w:framePr w:w="1710" w:h="419" w:hRule="exact" w:hSpace="181" w:vSpace="181" w:wrap="around" w:vAnchor="page" w:hAnchor="page" w:x="7860" w:y="15046"/>
        <w:rPr>
          <w:rFonts w:hAnsi="黑体"/>
          <w:color w:val="auto"/>
          <w:sz w:val="40"/>
        </w:rPr>
      </w:pPr>
      <w:r>
        <w:rPr>
          <w:rStyle w:val="239"/>
          <w:color w:val="auto"/>
          <w:spacing w:val="0"/>
          <w:position w:val="0"/>
          <w:sz w:val="32"/>
        </w:rPr>
        <w:t>联合</w:t>
      </w:r>
      <w:r>
        <w:rPr>
          <w:rStyle w:val="239"/>
          <w:rFonts w:hint="eastAsia" w:hAnsi="黑体"/>
          <w:color w:val="auto"/>
          <w:spacing w:val="0"/>
          <w:position w:val="0"/>
          <w:sz w:val="32"/>
        </w:rPr>
        <w:t>发布</w:t>
      </w:r>
    </w:p>
    <w:p w14:paraId="5B3EB744">
      <w:pPr>
        <w:rPr>
          <w:rFonts w:ascii="宋体" w:hAnsi="宋体"/>
          <w:color w:val="auto"/>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color w:val="auto"/>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62F33E4">
      <w:pPr>
        <w:pStyle w:val="101"/>
        <w:spacing w:after="468"/>
        <w:rPr>
          <w:color w:val="auto"/>
        </w:rPr>
      </w:pPr>
      <w:bookmarkStart w:id="8" w:name="BookMark1"/>
      <w:bookmarkStart w:id="9" w:name="_Toc82425896"/>
      <w:bookmarkStart w:id="10" w:name="_Toc114145186"/>
      <w:bookmarkStart w:id="11" w:name="_Toc82425072"/>
      <w:bookmarkStart w:id="12" w:name="_Toc80803097"/>
      <w:bookmarkStart w:id="13" w:name="_Toc80690997"/>
      <w:bookmarkStart w:id="14" w:name="_Toc80691140"/>
      <w:bookmarkStart w:id="15" w:name="_Toc82425959"/>
      <w:bookmarkStart w:id="16" w:name="_Toc138670264"/>
      <w:bookmarkStart w:id="17" w:name="_Toc76568194"/>
      <w:bookmarkStart w:id="18" w:name="_Toc80628396"/>
      <w:bookmarkStart w:id="19" w:name="_Toc80629133"/>
      <w:bookmarkStart w:id="20" w:name="_Toc80692009"/>
      <w:bookmarkStart w:id="21" w:name="_Toc80690587"/>
      <w:bookmarkStart w:id="22" w:name="_Toc122352760"/>
      <w:bookmarkStart w:id="23" w:name="_Toc114152358"/>
      <w:bookmarkStart w:id="24" w:name="_Toc122352735"/>
      <w:bookmarkStart w:id="25" w:name="_Toc70432397"/>
      <w:bookmarkStart w:id="26" w:name="_Toc113526958"/>
      <w:bookmarkStart w:id="27" w:name="_Toc114152326"/>
      <w:bookmarkStart w:id="28" w:name="_Toc114146172"/>
      <w:bookmarkStart w:id="29" w:name="_Toc80689185"/>
      <w:bookmarkStart w:id="30" w:name="_Toc80627797"/>
      <w:bookmarkStart w:id="31" w:name="_Toc80690681"/>
      <w:bookmarkStart w:id="32" w:name="_Toc79397019"/>
      <w:bookmarkStart w:id="33" w:name="_Toc114145699"/>
      <w:bookmarkStart w:id="34" w:name="_Toc82425030"/>
      <w:bookmarkStart w:id="35" w:name="_Toc80630660"/>
      <w:bookmarkStart w:id="36" w:name="_Toc76566628"/>
      <w:bookmarkStart w:id="37" w:name="_Toc141082727"/>
      <w:bookmarkStart w:id="38" w:name="_Toc80801546"/>
      <w:r>
        <w:rPr>
          <w:rFonts w:hint="eastAsia"/>
          <w:color w:val="auto"/>
          <w:spacing w:val="320"/>
        </w:rPr>
        <w:t>目</w:t>
      </w:r>
      <w:r>
        <w:rPr>
          <w:rFonts w:hint="eastAsia"/>
          <w:color w:val="auto"/>
        </w:rPr>
        <w:t>次</w:t>
      </w:r>
    </w:p>
    <w:p w14:paraId="0E8E4B84">
      <w:pPr>
        <w:pStyle w:val="22"/>
        <w:tabs>
          <w:tab w:val="right" w:leader="dot" w:pos="9354"/>
        </w:tabs>
      </w:pPr>
      <w:r>
        <w:rPr>
          <w:color w:val="auto"/>
        </w:rPr>
        <w:fldChar w:fldCharType="begin"/>
      </w:r>
      <w:r>
        <w:rPr>
          <w:color w:val="auto"/>
        </w:rPr>
        <w:instrText xml:space="preserve"> </w:instrText>
      </w:r>
      <w:r>
        <w:rPr>
          <w:rFonts w:hint="eastAsia"/>
          <w:color w:val="auto"/>
        </w:rPr>
        <w:instrText xml:space="preserve">TOC \o "1-1" \h \z \u</w:instrText>
      </w:r>
      <w:r>
        <w:rPr>
          <w:color w:val="auto"/>
        </w:rPr>
        <w:instrText xml:space="preserve"> </w:instrText>
      </w:r>
      <w:r>
        <w:rPr>
          <w:color w:val="auto"/>
        </w:rPr>
        <w:fldChar w:fldCharType="separate"/>
      </w:r>
      <w:r>
        <w:rPr>
          <w:color w:val="auto"/>
        </w:rPr>
        <w:fldChar w:fldCharType="begin"/>
      </w:r>
      <w:r>
        <w:instrText xml:space="preserve"> HYPERLINK \l _Toc23726 </w:instrText>
      </w:r>
      <w:r>
        <w:fldChar w:fldCharType="separate"/>
      </w:r>
      <w:r>
        <w:rPr>
          <w:spacing w:val="320"/>
        </w:rPr>
        <w:t>前</w:t>
      </w:r>
      <w:r>
        <w:t>言</w:t>
      </w:r>
      <w:r>
        <w:tab/>
      </w:r>
      <w:r>
        <w:fldChar w:fldCharType="begin"/>
      </w:r>
      <w:r>
        <w:instrText xml:space="preserve"> PAGEREF _Toc23726 \h </w:instrText>
      </w:r>
      <w:r>
        <w:fldChar w:fldCharType="separate"/>
      </w:r>
      <w:r>
        <w:t>II</w:t>
      </w:r>
      <w:r>
        <w:fldChar w:fldCharType="end"/>
      </w:r>
      <w:r>
        <w:rPr>
          <w:color w:val="auto"/>
        </w:rPr>
        <w:fldChar w:fldCharType="end"/>
      </w:r>
    </w:p>
    <w:p w14:paraId="090D61AA">
      <w:pPr>
        <w:pStyle w:val="22"/>
        <w:tabs>
          <w:tab w:val="right" w:leader="dot" w:pos="9354"/>
        </w:tabs>
      </w:pPr>
      <w:r>
        <w:rPr>
          <w:color w:val="auto"/>
        </w:rPr>
        <w:fldChar w:fldCharType="begin"/>
      </w:r>
      <w:r>
        <w:instrText xml:space="preserve"> HYPERLINK \l _Toc8559 </w:instrText>
      </w:r>
      <w:r>
        <w:fldChar w:fldCharType="separate"/>
      </w:r>
      <w:r>
        <w:rPr>
          <w:rFonts w:hint="eastAsia" w:ascii="黑体" w:hAnsi="黑体" w:eastAsia="黑体" w:cs="黑体"/>
          <w:i w:val="0"/>
          <w:szCs w:val="21"/>
        </w:rPr>
        <w:t xml:space="preserve">1 </w:t>
      </w:r>
      <w:r>
        <w:rPr>
          <w:rFonts w:hint="eastAsia" w:hAnsi="黑体" w:cs="黑体"/>
          <w:szCs w:val="21"/>
        </w:rPr>
        <w:t>范围</w:t>
      </w:r>
      <w:r>
        <w:tab/>
      </w:r>
      <w:r>
        <w:fldChar w:fldCharType="begin"/>
      </w:r>
      <w:r>
        <w:instrText xml:space="preserve"> PAGEREF _Toc8559 \h </w:instrText>
      </w:r>
      <w:r>
        <w:fldChar w:fldCharType="separate"/>
      </w:r>
      <w:r>
        <w:t>3</w:t>
      </w:r>
      <w:r>
        <w:fldChar w:fldCharType="end"/>
      </w:r>
      <w:r>
        <w:rPr>
          <w:color w:val="auto"/>
        </w:rPr>
        <w:fldChar w:fldCharType="end"/>
      </w:r>
    </w:p>
    <w:p w14:paraId="18C1AE1A">
      <w:pPr>
        <w:pStyle w:val="22"/>
        <w:tabs>
          <w:tab w:val="right" w:leader="dot" w:pos="9354"/>
        </w:tabs>
      </w:pPr>
      <w:r>
        <w:rPr>
          <w:color w:val="auto"/>
        </w:rPr>
        <w:fldChar w:fldCharType="begin"/>
      </w:r>
      <w:r>
        <w:instrText xml:space="preserve"> HYPERLINK \l _Toc7646 </w:instrText>
      </w:r>
      <w:r>
        <w:fldChar w:fldCharType="separate"/>
      </w:r>
      <w:r>
        <w:rPr>
          <w:rFonts w:hint="eastAsia" w:ascii="黑体" w:hAnsi="黑体" w:eastAsia="黑体" w:cs="黑体"/>
          <w:i w:val="0"/>
          <w:szCs w:val="21"/>
        </w:rPr>
        <w:t xml:space="preserve">2 </w:t>
      </w:r>
      <w:r>
        <w:rPr>
          <w:rFonts w:hint="eastAsia" w:hAnsi="黑体" w:cs="黑体"/>
          <w:szCs w:val="21"/>
        </w:rPr>
        <w:t>规范性引用文件</w:t>
      </w:r>
      <w:r>
        <w:tab/>
      </w:r>
      <w:r>
        <w:fldChar w:fldCharType="begin"/>
      </w:r>
      <w:r>
        <w:instrText xml:space="preserve"> PAGEREF _Toc7646 \h </w:instrText>
      </w:r>
      <w:r>
        <w:fldChar w:fldCharType="separate"/>
      </w:r>
      <w:r>
        <w:t>3</w:t>
      </w:r>
      <w:r>
        <w:fldChar w:fldCharType="end"/>
      </w:r>
      <w:r>
        <w:rPr>
          <w:color w:val="auto"/>
        </w:rPr>
        <w:fldChar w:fldCharType="end"/>
      </w:r>
    </w:p>
    <w:p w14:paraId="0A3ED007">
      <w:pPr>
        <w:pStyle w:val="22"/>
        <w:tabs>
          <w:tab w:val="right" w:leader="dot" w:pos="9354"/>
        </w:tabs>
      </w:pPr>
      <w:r>
        <w:rPr>
          <w:color w:val="auto"/>
        </w:rPr>
        <w:fldChar w:fldCharType="begin"/>
      </w:r>
      <w:r>
        <w:instrText xml:space="preserve"> HYPERLINK \l _Toc19566 </w:instrText>
      </w:r>
      <w:r>
        <w:fldChar w:fldCharType="separate"/>
      </w:r>
      <w:r>
        <w:rPr>
          <w:rFonts w:hint="eastAsia" w:ascii="黑体" w:hAnsi="黑体" w:eastAsia="黑体" w:cs="黑体"/>
          <w:i w:val="0"/>
          <w:szCs w:val="21"/>
        </w:rPr>
        <w:t xml:space="preserve">3 </w:t>
      </w:r>
      <w:r>
        <w:rPr>
          <w:rFonts w:hint="eastAsia" w:hAnsi="黑体" w:cs="黑体"/>
          <w:szCs w:val="21"/>
        </w:rPr>
        <w:t>术语与定义</w:t>
      </w:r>
      <w:r>
        <w:tab/>
      </w:r>
      <w:r>
        <w:fldChar w:fldCharType="begin"/>
      </w:r>
      <w:r>
        <w:instrText xml:space="preserve"> PAGEREF _Toc19566 \h </w:instrText>
      </w:r>
      <w:r>
        <w:fldChar w:fldCharType="separate"/>
      </w:r>
      <w:r>
        <w:t>3</w:t>
      </w:r>
      <w:r>
        <w:fldChar w:fldCharType="end"/>
      </w:r>
      <w:r>
        <w:rPr>
          <w:color w:val="auto"/>
        </w:rPr>
        <w:fldChar w:fldCharType="end"/>
      </w:r>
    </w:p>
    <w:p w14:paraId="1660006D">
      <w:pPr>
        <w:pStyle w:val="22"/>
        <w:tabs>
          <w:tab w:val="right" w:leader="dot" w:pos="9354"/>
        </w:tabs>
      </w:pPr>
      <w:r>
        <w:rPr>
          <w:color w:val="auto"/>
        </w:rPr>
        <w:fldChar w:fldCharType="begin"/>
      </w:r>
      <w:r>
        <w:instrText xml:space="preserve"> HYPERLINK \l _Toc2386 </w:instrText>
      </w:r>
      <w:r>
        <w:fldChar w:fldCharType="separate"/>
      </w:r>
      <w:r>
        <w:rPr>
          <w:rFonts w:hint="eastAsia" w:ascii="黑体" w:hAnsi="黑体" w:eastAsia="黑体" w:cs="黑体"/>
          <w:i w:val="0"/>
          <w:szCs w:val="21"/>
        </w:rPr>
        <w:t xml:space="preserve">4 </w:t>
      </w:r>
      <w:r>
        <w:rPr>
          <w:rFonts w:hint="eastAsia" w:hAnsi="黑体" w:cs="黑体"/>
          <w:szCs w:val="21"/>
        </w:rPr>
        <w:t>基本规定</w:t>
      </w:r>
      <w:r>
        <w:tab/>
      </w:r>
      <w:r>
        <w:fldChar w:fldCharType="begin"/>
      </w:r>
      <w:r>
        <w:instrText xml:space="preserve"> PAGEREF _Toc2386 \h </w:instrText>
      </w:r>
      <w:r>
        <w:fldChar w:fldCharType="separate"/>
      </w:r>
      <w:r>
        <w:t>4</w:t>
      </w:r>
      <w:r>
        <w:fldChar w:fldCharType="end"/>
      </w:r>
      <w:r>
        <w:rPr>
          <w:color w:val="auto"/>
        </w:rPr>
        <w:fldChar w:fldCharType="end"/>
      </w:r>
    </w:p>
    <w:p w14:paraId="51C6DD48">
      <w:pPr>
        <w:pStyle w:val="22"/>
        <w:tabs>
          <w:tab w:val="right" w:leader="dot" w:pos="9354"/>
        </w:tabs>
      </w:pPr>
      <w:r>
        <w:rPr>
          <w:color w:val="auto"/>
        </w:rPr>
        <w:fldChar w:fldCharType="begin"/>
      </w:r>
      <w:r>
        <w:instrText xml:space="preserve"> HYPERLINK \l _Toc7264 </w:instrText>
      </w:r>
      <w:r>
        <w:fldChar w:fldCharType="separate"/>
      </w:r>
      <w:r>
        <w:rPr>
          <w:rFonts w:hint="eastAsia" w:ascii="黑体" w:eastAsia="黑体"/>
          <w:i w:val="0"/>
        </w:rPr>
        <w:t xml:space="preserve">5 </w:t>
      </w:r>
      <w:r>
        <w:rPr>
          <w:rFonts w:hint="eastAsia" w:hAnsi="黑体" w:cs="黑体"/>
          <w:szCs w:val="21"/>
          <w:lang w:val="en-US" w:eastAsia="zh-CN"/>
        </w:rPr>
        <w:t>排水管网清污分流工程</w:t>
      </w:r>
      <w:r>
        <w:tab/>
      </w:r>
      <w:r>
        <w:fldChar w:fldCharType="begin"/>
      </w:r>
      <w:r>
        <w:instrText xml:space="preserve"> PAGEREF _Toc7264 \h </w:instrText>
      </w:r>
      <w:r>
        <w:fldChar w:fldCharType="separate"/>
      </w:r>
      <w:r>
        <w:t>4</w:t>
      </w:r>
      <w:r>
        <w:fldChar w:fldCharType="end"/>
      </w:r>
      <w:r>
        <w:rPr>
          <w:color w:val="auto"/>
        </w:rPr>
        <w:fldChar w:fldCharType="end"/>
      </w:r>
    </w:p>
    <w:p w14:paraId="7A6BCC0D">
      <w:pPr>
        <w:pStyle w:val="22"/>
        <w:tabs>
          <w:tab w:val="right" w:leader="dot" w:pos="9354"/>
        </w:tabs>
      </w:pPr>
      <w:r>
        <w:rPr>
          <w:color w:val="auto"/>
        </w:rPr>
        <w:fldChar w:fldCharType="begin"/>
      </w:r>
      <w:r>
        <w:instrText xml:space="preserve"> HYPERLINK \l _Toc23481 </w:instrText>
      </w:r>
      <w:r>
        <w:fldChar w:fldCharType="separate"/>
      </w:r>
      <w:r>
        <w:rPr>
          <w:rFonts w:hint="eastAsia" w:ascii="黑体" w:hAnsi="黑体" w:eastAsia="黑体" w:cs="黑体"/>
          <w:i w:val="0"/>
          <w:szCs w:val="21"/>
        </w:rPr>
        <w:t xml:space="preserve">6 </w:t>
      </w:r>
      <w:r>
        <w:rPr>
          <w:rFonts w:hint="eastAsia" w:hAnsi="黑体" w:cs="黑体"/>
          <w:szCs w:val="21"/>
          <w:lang w:val="en-US" w:eastAsia="zh-CN"/>
        </w:rPr>
        <w:t>排水管网数字化工程</w:t>
      </w:r>
      <w:r>
        <w:tab/>
      </w:r>
      <w:r>
        <w:fldChar w:fldCharType="begin"/>
      </w:r>
      <w:r>
        <w:instrText xml:space="preserve"> PAGEREF _Toc23481 \h </w:instrText>
      </w:r>
      <w:r>
        <w:fldChar w:fldCharType="separate"/>
      </w:r>
      <w:r>
        <w:t>8</w:t>
      </w:r>
      <w:r>
        <w:fldChar w:fldCharType="end"/>
      </w:r>
      <w:r>
        <w:rPr>
          <w:color w:val="auto"/>
        </w:rPr>
        <w:fldChar w:fldCharType="end"/>
      </w:r>
    </w:p>
    <w:p w14:paraId="6FC92FBC">
      <w:pPr>
        <w:pStyle w:val="22"/>
        <w:tabs>
          <w:tab w:val="right" w:leader="dot" w:pos="9354"/>
        </w:tabs>
      </w:pPr>
      <w:r>
        <w:rPr>
          <w:color w:val="auto"/>
        </w:rPr>
        <w:fldChar w:fldCharType="begin"/>
      </w:r>
      <w:r>
        <w:instrText xml:space="preserve"> HYPERLINK \l _Toc29460 </w:instrText>
      </w:r>
      <w:r>
        <w:fldChar w:fldCharType="separate"/>
      </w:r>
      <w:r>
        <w:rPr>
          <w:rFonts w:hint="eastAsia" w:ascii="黑体" w:hAnsi="黑体" w:eastAsia="黑体" w:cs="黑体"/>
          <w:i w:val="0"/>
          <w:szCs w:val="21"/>
        </w:rPr>
        <w:t xml:space="preserve">7 </w:t>
      </w:r>
      <w:r>
        <w:rPr>
          <w:rFonts w:hint="eastAsia" w:hAnsi="黑体" w:cs="黑体"/>
          <w:szCs w:val="21"/>
          <w:lang w:val="en-US" w:eastAsia="zh-CN"/>
        </w:rPr>
        <w:t>排水管网智能化工程</w:t>
      </w:r>
      <w:r>
        <w:tab/>
      </w:r>
      <w:r>
        <w:fldChar w:fldCharType="begin"/>
      </w:r>
      <w:r>
        <w:instrText xml:space="preserve"> PAGEREF _Toc29460 \h </w:instrText>
      </w:r>
      <w:r>
        <w:fldChar w:fldCharType="separate"/>
      </w:r>
      <w:r>
        <w:t>11</w:t>
      </w:r>
      <w:r>
        <w:fldChar w:fldCharType="end"/>
      </w:r>
      <w:r>
        <w:rPr>
          <w:color w:val="auto"/>
        </w:rPr>
        <w:fldChar w:fldCharType="end"/>
      </w:r>
    </w:p>
    <w:p w14:paraId="5C2B45C9">
      <w:pPr>
        <w:pStyle w:val="22"/>
        <w:tabs>
          <w:tab w:val="right" w:leader="dot" w:pos="9354"/>
        </w:tabs>
      </w:pPr>
      <w:r>
        <w:rPr>
          <w:color w:val="auto"/>
        </w:rPr>
        <w:fldChar w:fldCharType="begin"/>
      </w:r>
      <w:r>
        <w:instrText xml:space="preserve"> HYPERLINK \l _Toc12285 </w:instrText>
      </w:r>
      <w:r>
        <w:fldChar w:fldCharType="separate"/>
      </w:r>
      <w:r>
        <w:rPr>
          <w:rFonts w:hint="eastAsia" w:ascii="黑体" w:hAnsi="黑体" w:eastAsia="黑体" w:cs="黑体"/>
          <w:i w:val="0"/>
          <w:szCs w:val="21"/>
          <w:lang w:val="en-US" w:eastAsia="zh-CN"/>
        </w:rPr>
        <w:t xml:space="preserve">8 </w:t>
      </w:r>
      <w:r>
        <w:rPr>
          <w:rFonts w:hint="eastAsia" w:hAnsi="黑体" w:cs="黑体"/>
          <w:szCs w:val="21"/>
          <w:lang w:val="en-US" w:eastAsia="zh-CN"/>
        </w:rPr>
        <w:t>智慧排水系统</w:t>
      </w:r>
      <w:r>
        <w:tab/>
      </w:r>
      <w:r>
        <w:fldChar w:fldCharType="begin"/>
      </w:r>
      <w:r>
        <w:instrText xml:space="preserve"> PAGEREF _Toc12285 \h </w:instrText>
      </w:r>
      <w:r>
        <w:fldChar w:fldCharType="separate"/>
      </w:r>
      <w:r>
        <w:t>13</w:t>
      </w:r>
      <w:r>
        <w:fldChar w:fldCharType="end"/>
      </w:r>
      <w:r>
        <w:rPr>
          <w:color w:val="auto"/>
        </w:rPr>
        <w:fldChar w:fldCharType="end"/>
      </w:r>
    </w:p>
    <w:p w14:paraId="0F82A28B">
      <w:pPr>
        <w:pStyle w:val="22"/>
        <w:tabs>
          <w:tab w:val="right" w:leader="dot" w:pos="9354"/>
        </w:tabs>
      </w:pPr>
      <w:r>
        <w:rPr>
          <w:color w:val="auto"/>
        </w:rPr>
        <w:fldChar w:fldCharType="begin"/>
      </w:r>
      <w:r>
        <w:instrText xml:space="preserve"> HYPERLINK \l _Toc9922 </w:instrText>
      </w:r>
      <w:r>
        <w:fldChar w:fldCharType="separate"/>
      </w:r>
      <w:r>
        <w:rPr>
          <w:rFonts w:hint="eastAsia" w:ascii="黑体" w:hAnsi="黑体" w:eastAsia="黑体" w:cs="黑体"/>
          <w:i w:val="0"/>
          <w:szCs w:val="21"/>
          <w:lang w:val="en-US" w:eastAsia="zh-CN"/>
        </w:rPr>
        <w:t xml:space="preserve">9 </w:t>
      </w:r>
      <w:r>
        <w:rPr>
          <w:rFonts w:hint="eastAsia" w:hAnsi="黑体" w:cs="黑体"/>
          <w:szCs w:val="21"/>
          <w:lang w:val="en-US" w:eastAsia="zh-CN"/>
        </w:rPr>
        <w:t>运维管理</w:t>
      </w:r>
      <w:r>
        <w:tab/>
      </w:r>
      <w:r>
        <w:fldChar w:fldCharType="begin"/>
      </w:r>
      <w:r>
        <w:instrText xml:space="preserve"> PAGEREF _Toc9922 \h </w:instrText>
      </w:r>
      <w:r>
        <w:fldChar w:fldCharType="separate"/>
      </w:r>
      <w:r>
        <w:t>15</w:t>
      </w:r>
      <w:r>
        <w:fldChar w:fldCharType="end"/>
      </w:r>
      <w:r>
        <w:rPr>
          <w:color w:val="auto"/>
        </w:rPr>
        <w:fldChar w:fldCharType="end"/>
      </w:r>
    </w:p>
    <w:p w14:paraId="28F4E829">
      <w:pPr>
        <w:pStyle w:val="22"/>
        <w:tabs>
          <w:tab w:val="right" w:leader="dot" w:pos="9354"/>
        </w:tabs>
      </w:pPr>
      <w:r>
        <w:rPr>
          <w:color w:val="auto"/>
        </w:rPr>
        <w:fldChar w:fldCharType="begin"/>
      </w:r>
      <w:r>
        <w:instrText xml:space="preserve"> HYPERLINK \l _Toc22180 </w:instrText>
      </w:r>
      <w:r>
        <w:fldChar w:fldCharType="separate"/>
      </w:r>
      <w:r>
        <w:rPr>
          <w:rFonts w:hint="eastAsia" w:ascii="黑体" w:hAnsi="Times New Roman" w:eastAsia="黑体" w:cs="Times New Roman"/>
          <w:i w:val="0"/>
          <w:lang w:val="en-US" w:eastAsia="zh-CN"/>
        </w:rPr>
        <w:t xml:space="preserve">10 </w:t>
      </w:r>
      <w:r>
        <w:rPr>
          <w:rFonts w:hint="eastAsia" w:hAnsi="Times New Roman" w:cs="Times New Roman"/>
          <w:highlight w:val="none"/>
          <w:lang w:val="en-US" w:eastAsia="zh-CN"/>
        </w:rPr>
        <w:t>标准的实施及评价</w:t>
      </w:r>
      <w:r>
        <w:tab/>
      </w:r>
      <w:r>
        <w:fldChar w:fldCharType="begin"/>
      </w:r>
      <w:r>
        <w:instrText xml:space="preserve"> PAGEREF _Toc22180 \h </w:instrText>
      </w:r>
      <w:r>
        <w:fldChar w:fldCharType="separate"/>
      </w:r>
      <w:r>
        <w:t>17</w:t>
      </w:r>
      <w:r>
        <w:fldChar w:fldCharType="end"/>
      </w:r>
      <w:r>
        <w:rPr>
          <w:color w:val="auto"/>
        </w:rPr>
        <w:fldChar w:fldCharType="end"/>
      </w:r>
    </w:p>
    <w:p w14:paraId="229D7335">
      <w:pPr>
        <w:pStyle w:val="22"/>
        <w:tabs>
          <w:tab w:val="right" w:leader="dot" w:pos="9354"/>
        </w:tabs>
      </w:pPr>
      <w:r>
        <w:rPr>
          <w:color w:val="auto"/>
        </w:rPr>
        <w:fldChar w:fldCharType="begin"/>
      </w:r>
      <w:r>
        <w:instrText xml:space="preserve"> HYPERLINK \l _Toc29787 </w:instrText>
      </w:r>
      <w:r>
        <w:fldChar w:fldCharType="separate"/>
      </w:r>
      <w:r>
        <w:rPr>
          <w:rFonts w:hint="eastAsia"/>
          <w:color w:val="auto"/>
          <w:highlight w:val="none"/>
          <w:lang w:val="en-US" w:eastAsia="zh-CN"/>
        </w:rPr>
        <w:t>附录</w:t>
      </w:r>
      <w:r>
        <w:rPr>
          <w:rFonts w:hint="default"/>
          <w:bCs/>
          <w:color w:val="auto"/>
          <w:spacing w:val="102"/>
          <w:lang w:val="en-US" w:eastAsia="zh-CN"/>
        </w:rPr>
        <w:t>A</w:t>
      </w:r>
      <w:r>
        <w:rPr>
          <w:rFonts w:hint="eastAsia"/>
          <w:color w:val="auto"/>
        </w:rPr>
        <w:t>（资料性）</w:t>
      </w:r>
      <w:r>
        <w:rPr>
          <w:rFonts w:hint="eastAsia"/>
          <w:color w:val="auto"/>
          <w:lang w:val="en-US" w:eastAsia="zh-CN"/>
        </w:rPr>
        <w:t>排水管网监测指标</w:t>
      </w:r>
      <w:r>
        <w:tab/>
      </w:r>
      <w:r>
        <w:fldChar w:fldCharType="begin"/>
      </w:r>
      <w:r>
        <w:instrText xml:space="preserve"> PAGEREF _Toc29787 \h </w:instrText>
      </w:r>
      <w:r>
        <w:fldChar w:fldCharType="separate"/>
      </w:r>
      <w:r>
        <w:t>18</w:t>
      </w:r>
      <w:r>
        <w:fldChar w:fldCharType="end"/>
      </w:r>
      <w:r>
        <w:rPr>
          <w:color w:val="auto"/>
        </w:rPr>
        <w:fldChar w:fldCharType="end"/>
      </w:r>
    </w:p>
    <w:p w14:paraId="016AABE1">
      <w:pPr>
        <w:pStyle w:val="22"/>
        <w:tabs>
          <w:tab w:val="right" w:leader="dot" w:pos="9354"/>
        </w:tabs>
      </w:pPr>
      <w:r>
        <w:rPr>
          <w:color w:val="auto"/>
        </w:rPr>
        <w:fldChar w:fldCharType="begin"/>
      </w:r>
      <w:r>
        <w:instrText xml:space="preserve"> HYPERLINK \l _Toc5460 </w:instrText>
      </w:r>
      <w:r>
        <w:fldChar w:fldCharType="separate"/>
      </w:r>
      <w:r>
        <w:rPr>
          <w:rFonts w:hint="eastAsia"/>
          <w:color w:val="auto"/>
          <w:highlight w:val="none"/>
          <w:lang w:val="en-US" w:eastAsia="zh-CN"/>
        </w:rPr>
        <w:t>附录B（资料性）湖北省地方标准实施信息及意见反馈表</w:t>
      </w:r>
      <w:r>
        <w:tab/>
      </w:r>
      <w:r>
        <w:fldChar w:fldCharType="begin"/>
      </w:r>
      <w:r>
        <w:instrText xml:space="preserve"> PAGEREF _Toc5460 \h </w:instrText>
      </w:r>
      <w:r>
        <w:fldChar w:fldCharType="separate"/>
      </w:r>
      <w:r>
        <w:t>19</w:t>
      </w:r>
      <w:r>
        <w:fldChar w:fldCharType="end"/>
      </w:r>
      <w:r>
        <w:rPr>
          <w:color w:val="auto"/>
        </w:rPr>
        <w:fldChar w:fldCharType="end"/>
      </w:r>
    </w:p>
    <w:p w14:paraId="6EBB2905">
      <w:pPr>
        <w:pStyle w:val="22"/>
        <w:tabs>
          <w:tab w:val="right" w:leader="dot" w:pos="9354"/>
        </w:tabs>
      </w:pPr>
      <w:r>
        <w:rPr>
          <w:color w:val="auto"/>
        </w:rPr>
        <w:fldChar w:fldCharType="begin"/>
      </w:r>
      <w:r>
        <w:instrText xml:space="preserve"> HYPERLINK \l _Toc32122 </w:instrText>
      </w:r>
      <w:r>
        <w:fldChar w:fldCharType="separate"/>
      </w:r>
      <w:r>
        <w:rPr>
          <w:rFonts w:hint="eastAsia"/>
          <w:color w:val="auto"/>
          <w:highlight w:val="none"/>
          <w:lang w:val="en-US" w:eastAsia="zh-CN"/>
        </w:rPr>
        <w:t>条文说明</w:t>
      </w:r>
      <w:r>
        <w:tab/>
      </w:r>
      <w:r>
        <w:fldChar w:fldCharType="begin"/>
      </w:r>
      <w:r>
        <w:instrText xml:space="preserve"> PAGEREF _Toc32122 \h </w:instrText>
      </w:r>
      <w:r>
        <w:fldChar w:fldCharType="separate"/>
      </w:r>
      <w:r>
        <w:t>20</w:t>
      </w:r>
      <w:r>
        <w:fldChar w:fldCharType="end"/>
      </w:r>
      <w:r>
        <w:rPr>
          <w:color w:val="auto"/>
        </w:rPr>
        <w:fldChar w:fldCharType="end"/>
      </w:r>
    </w:p>
    <w:p w14:paraId="3A85EF95">
      <w:pPr>
        <w:rPr>
          <w:color w:val="auto"/>
        </w:rPr>
      </w:pPr>
      <w:r>
        <w:rPr>
          <w:color w:val="auto"/>
        </w:rPr>
        <w:fldChar w:fldCharType="end"/>
      </w:r>
    </w:p>
    <w:p w14:paraId="046CB515">
      <w:pPr>
        <w:pStyle w:val="22"/>
        <w:tabs>
          <w:tab w:val="right" w:leader="dot" w:pos="9354"/>
        </w:tabs>
        <w:rPr>
          <w:rFonts w:hint="eastAsia"/>
          <w:color w:val="auto"/>
          <w:highlight w:val="none"/>
          <w:lang w:val="en-US" w:eastAsia="zh-CN"/>
        </w:rPr>
      </w:pPr>
    </w:p>
    <w:p w14:paraId="4DA81984">
      <w:pPr>
        <w:rPr>
          <w:rFonts w:hint="eastAsia"/>
          <w:color w:val="auto"/>
          <w:highlight w:val="none"/>
          <w:lang w:val="en-US" w:eastAsia="zh-CN"/>
        </w:rPr>
      </w:pPr>
    </w:p>
    <w:p w14:paraId="60A85996">
      <w:pPr>
        <w:rPr>
          <w:rFonts w:hint="eastAsia"/>
          <w:color w:val="auto"/>
          <w:highlight w:val="none"/>
          <w:lang w:val="en-US" w:eastAsia="zh-CN"/>
        </w:rPr>
      </w:pPr>
    </w:p>
    <w:p w14:paraId="4F6B2DAE">
      <w:pPr>
        <w:rPr>
          <w:rFonts w:hint="eastAsia"/>
          <w:color w:val="auto"/>
          <w:highlight w:val="none"/>
          <w:lang w:val="en-US" w:eastAsia="zh-CN"/>
        </w:rPr>
      </w:pPr>
    </w:p>
    <w:p w14:paraId="7048B542">
      <w:pPr>
        <w:rPr>
          <w:rFonts w:hint="eastAsia"/>
          <w:color w:val="auto"/>
          <w:highlight w:val="none"/>
          <w:lang w:val="en-US" w:eastAsia="zh-CN"/>
        </w:rPr>
      </w:pPr>
    </w:p>
    <w:p w14:paraId="582BD449">
      <w:pPr>
        <w:pStyle w:val="22"/>
        <w:tabs>
          <w:tab w:val="right" w:leader="dot" w:pos="9354"/>
        </w:tabs>
        <w:rPr>
          <w:rFonts w:hint="eastAsia"/>
          <w:color w:val="auto"/>
          <w:highlight w:val="none"/>
          <w:lang w:val="en-US" w:eastAsia="zh-CN"/>
        </w:rPr>
        <w:sectPr>
          <w:headerReference r:id="rId9" w:type="default"/>
          <w:footerReference r:id="rId11" w:type="default"/>
          <w:headerReference r:id="rId10" w:type="even"/>
          <w:footerReference r:id="rId12" w:type="even"/>
          <w:pgSz w:w="11906" w:h="16838"/>
          <w:pgMar w:top="567" w:right="1134" w:bottom="1134" w:left="1134" w:header="1418" w:footer="1134" w:gutter="284"/>
          <w:pgNumType w:fmt="upperRoman" w:start="1"/>
          <w:cols w:space="425" w:num="1"/>
          <w:formProt w:val="0"/>
          <w:docGrid w:type="lines" w:linePitch="312" w:charSpace="0"/>
        </w:sectPr>
      </w:pPr>
    </w:p>
    <w:bookmarkEnd w:id="8"/>
    <w:p w14:paraId="3B763C19">
      <w:pPr>
        <w:pStyle w:val="99"/>
        <w:spacing w:after="468"/>
        <w:rPr>
          <w:color w:val="auto"/>
        </w:rPr>
      </w:pPr>
      <w:bookmarkStart w:id="39" w:name="_Toc10049"/>
      <w:bookmarkStart w:id="40" w:name="_Toc23726"/>
      <w:bookmarkStart w:id="41" w:name="BookMark2"/>
      <w:r>
        <w:rPr>
          <w:color w:val="auto"/>
          <w:spacing w:val="320"/>
        </w:rPr>
        <w:t>前</w:t>
      </w:r>
      <w:r>
        <w:rPr>
          <w:color w:val="auto"/>
        </w:rPr>
        <w:t>言</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7A67CFDB">
      <w:pPr>
        <w:pStyle w:val="41"/>
        <w:tabs>
          <w:tab w:val="center" w:pos="4201"/>
          <w:tab w:val="right" w:leader="dot" w:pos="9298"/>
        </w:tabs>
        <w:rPr>
          <w:color w:val="auto"/>
        </w:rPr>
      </w:pPr>
    </w:p>
    <w:p w14:paraId="3CF175CC">
      <w:pPr>
        <w:pStyle w:val="41"/>
        <w:tabs>
          <w:tab w:val="center" w:pos="4201"/>
          <w:tab w:val="right" w:leader="dot" w:pos="9298"/>
        </w:tabs>
        <w:rPr>
          <w:color w:val="auto"/>
          <w:spacing w:val="-4"/>
          <w:szCs w:val="21"/>
        </w:rPr>
      </w:pPr>
      <w:r>
        <w:rPr>
          <w:rFonts w:hint="eastAsia"/>
          <w:color w:val="auto"/>
        </w:rPr>
        <w:t>本文件按照GB/T 1.1-2020《标准化工作导则 第1部分：标准化文件的结构和起草规则》的规定起草。</w:t>
      </w:r>
    </w:p>
    <w:p w14:paraId="01F85EF4">
      <w:pPr>
        <w:pStyle w:val="66"/>
        <w:ind w:firstLine="420"/>
        <w:rPr>
          <w:color w:val="auto"/>
        </w:rPr>
      </w:pPr>
      <w:r>
        <w:rPr>
          <w:rFonts w:hint="eastAsia"/>
          <w:color w:val="auto"/>
        </w:rPr>
        <w:t>请注意本文件的某些内容有可能涉及专利，本文件的发布机构不承担识别专利的责任。</w:t>
      </w:r>
    </w:p>
    <w:p w14:paraId="3A969BE7">
      <w:pPr>
        <w:pStyle w:val="66"/>
        <w:ind w:firstLine="420"/>
        <w:rPr>
          <w:color w:val="auto"/>
        </w:rPr>
      </w:pPr>
      <w:r>
        <w:rPr>
          <w:rFonts w:hint="eastAsia"/>
          <w:color w:val="auto"/>
        </w:rPr>
        <w:t>本文件由湖北省住房和城乡建设厅提出并归口管理。</w:t>
      </w:r>
    </w:p>
    <w:p w14:paraId="7D3F15E0">
      <w:pPr>
        <w:pStyle w:val="66"/>
        <w:ind w:firstLine="420"/>
        <w:rPr>
          <w:color w:val="auto"/>
        </w:rPr>
      </w:pPr>
      <w:r>
        <w:rPr>
          <w:rFonts w:hint="eastAsia"/>
          <w:color w:val="auto"/>
        </w:rPr>
        <w:t>本文件主要起草单位：</w:t>
      </w:r>
      <w:r>
        <w:rPr>
          <w:rFonts w:hint="eastAsia"/>
          <w:color w:val="auto"/>
          <w:spacing w:val="-4"/>
          <w:szCs w:val="21"/>
        </w:rPr>
        <w:t>武汉圣禹智慧生态环保股份有限公司、</w:t>
      </w:r>
      <w:r>
        <w:rPr>
          <w:rFonts w:hint="eastAsia"/>
          <w:color w:val="auto"/>
          <w:szCs w:val="24"/>
        </w:rPr>
        <w:t>湖北</w:t>
      </w:r>
      <w:r>
        <w:rPr>
          <w:rFonts w:hint="eastAsia"/>
          <w:color w:val="auto"/>
          <w:spacing w:val="-3"/>
          <w:szCs w:val="24"/>
        </w:rPr>
        <w:t>省</w:t>
      </w:r>
      <w:r>
        <w:rPr>
          <w:rFonts w:hint="eastAsia"/>
          <w:color w:val="auto"/>
          <w:szCs w:val="24"/>
        </w:rPr>
        <w:t>建</w:t>
      </w:r>
      <w:r>
        <w:rPr>
          <w:rFonts w:hint="eastAsia"/>
          <w:color w:val="auto"/>
          <w:spacing w:val="-3"/>
          <w:szCs w:val="24"/>
        </w:rPr>
        <w:t>设</w:t>
      </w:r>
      <w:r>
        <w:rPr>
          <w:rFonts w:hint="eastAsia"/>
          <w:color w:val="auto"/>
          <w:szCs w:val="24"/>
        </w:rPr>
        <w:t>信</w:t>
      </w:r>
      <w:r>
        <w:rPr>
          <w:rFonts w:hint="eastAsia"/>
          <w:color w:val="auto"/>
          <w:spacing w:val="-3"/>
          <w:szCs w:val="24"/>
        </w:rPr>
        <w:t>息</w:t>
      </w:r>
      <w:r>
        <w:rPr>
          <w:rFonts w:hint="eastAsia"/>
          <w:color w:val="auto"/>
          <w:szCs w:val="24"/>
        </w:rPr>
        <w:t>中</w:t>
      </w:r>
      <w:r>
        <w:rPr>
          <w:rFonts w:hint="eastAsia"/>
          <w:color w:val="auto"/>
          <w:spacing w:val="-3"/>
          <w:szCs w:val="24"/>
        </w:rPr>
        <w:t>心。</w:t>
      </w:r>
    </w:p>
    <w:p w14:paraId="5E34E321">
      <w:pPr>
        <w:pStyle w:val="66"/>
        <w:ind w:firstLine="420"/>
        <w:rPr>
          <w:color w:val="auto"/>
        </w:rPr>
      </w:pPr>
      <w:r>
        <w:rPr>
          <w:rFonts w:hint="eastAsia"/>
          <w:color w:val="auto"/>
        </w:rPr>
        <w:t>本文件参与起草单位：</w:t>
      </w:r>
      <w:r>
        <w:rPr>
          <w:rFonts w:hint="eastAsia"/>
          <w:color w:val="auto"/>
          <w:spacing w:val="-3"/>
          <w:szCs w:val="24"/>
        </w:rPr>
        <w:t>时代华易（深圳）信息技术有限公司</w:t>
      </w:r>
      <w:r>
        <w:rPr>
          <w:rFonts w:hint="eastAsia"/>
          <w:color w:val="auto"/>
        </w:rPr>
        <w:t>。</w:t>
      </w:r>
    </w:p>
    <w:p w14:paraId="087A1770">
      <w:pPr>
        <w:pStyle w:val="66"/>
        <w:ind w:firstLine="420"/>
        <w:rPr>
          <w:color w:val="auto"/>
        </w:rPr>
      </w:pPr>
      <w:r>
        <w:rPr>
          <w:rFonts w:hint="eastAsia"/>
          <w:color w:val="auto"/>
        </w:rPr>
        <w:t>本文件主要起草人：周超、李习洪、邹江、梁峰、李艳霞、李华军、田玉静、俞笑月、</w:t>
      </w:r>
      <w:r>
        <w:rPr>
          <w:color w:val="auto"/>
        </w:rPr>
        <w:t>李浩</w:t>
      </w:r>
      <w:r>
        <w:rPr>
          <w:rFonts w:hint="eastAsia"/>
          <w:color w:val="auto"/>
          <w:lang w:val="en-US" w:eastAsia="zh-CN"/>
        </w:rPr>
        <w:t>、</w:t>
      </w:r>
      <w:r>
        <w:rPr>
          <w:color w:val="auto"/>
        </w:rPr>
        <w:t>管彩红</w:t>
      </w:r>
      <w:r>
        <w:rPr>
          <w:rFonts w:hint="eastAsia"/>
          <w:color w:val="auto"/>
        </w:rPr>
        <w:t>。</w:t>
      </w:r>
    </w:p>
    <w:p w14:paraId="5DC08815">
      <w:pPr>
        <w:pStyle w:val="66"/>
        <w:ind w:firstLine="420"/>
        <w:rPr>
          <w:rFonts w:ascii="黑体" w:hAnsi="黑体" w:eastAsia="黑体"/>
          <w:color w:val="auto"/>
          <w:sz w:val="28"/>
        </w:rPr>
      </w:pPr>
      <w:r>
        <w:rPr>
          <w:rFonts w:hint="eastAsia"/>
          <w:color w:val="auto"/>
        </w:rPr>
        <w:t>本文件实施应用中的疑问，可咨询湖北省住房和城乡建设厅，联系电话：027-68873088；邮箱：xxzx@hbszjt.net.cn；对本文件的有关修改意见请反馈至第一起草单位武汉</w:t>
      </w:r>
      <w:r>
        <w:rPr>
          <w:rFonts w:hint="eastAsia"/>
          <w:color w:val="auto"/>
          <w:spacing w:val="-4"/>
          <w:szCs w:val="21"/>
        </w:rPr>
        <w:t>圣禹智慧生态环保股份有限公司</w:t>
      </w:r>
      <w:r>
        <w:rPr>
          <w:rFonts w:hint="eastAsia"/>
          <w:color w:val="auto"/>
        </w:rPr>
        <w:t>，电话：027-50765221</w:t>
      </w:r>
      <w:r>
        <w:rPr>
          <w:color w:val="auto"/>
        </w:rPr>
        <w:t xml:space="preserve"> </w:t>
      </w:r>
      <w:r>
        <w:rPr>
          <w:rFonts w:hint="eastAsia"/>
          <w:color w:val="auto"/>
        </w:rPr>
        <w:t>；邮箱：</w:t>
      </w:r>
      <w:r>
        <w:rPr>
          <w:rFonts w:hint="eastAsia"/>
          <w:color w:val="auto"/>
          <w:sz w:val="24"/>
          <w:szCs w:val="24"/>
        </w:rPr>
        <w:t>shengyups@163.com</w:t>
      </w:r>
      <w:r>
        <w:rPr>
          <w:color w:val="auto"/>
        </w:rPr>
        <w:t xml:space="preserve"> </w:t>
      </w:r>
      <w:r>
        <w:rPr>
          <w:rFonts w:hint="eastAsia"/>
          <w:color w:val="auto"/>
        </w:rPr>
        <w:t>；地址：湖北省</w:t>
      </w:r>
      <w:r>
        <w:rPr>
          <w:color w:val="auto"/>
        </w:rPr>
        <w:t>武汉市</w:t>
      </w:r>
      <w:r>
        <w:rPr>
          <w:rFonts w:hint="eastAsia"/>
          <w:color w:val="auto"/>
        </w:rPr>
        <w:t>经济技术开发区全力北路189号。</w:t>
      </w:r>
    </w:p>
    <w:p w14:paraId="062104B6">
      <w:pPr>
        <w:tabs>
          <w:tab w:val="left" w:pos="5575"/>
        </w:tabs>
        <w:rPr>
          <w:color w:val="auto"/>
        </w:rPr>
        <w:sectPr>
          <w:headerReference r:id="rId13" w:type="default"/>
          <w:footerReference r:id="rId15" w:type="default"/>
          <w:headerReference r:id="rId14" w:type="even"/>
          <w:footerReference r:id="rId16" w:type="even"/>
          <w:pgSz w:w="11906" w:h="16838"/>
          <w:pgMar w:top="567" w:right="1134" w:bottom="1134" w:left="1134" w:header="1418" w:footer="1134" w:gutter="284"/>
          <w:pgNumType w:fmt="upperRoman"/>
          <w:cols w:space="425" w:num="1"/>
          <w:formProt w:val="0"/>
          <w:docGrid w:type="lines" w:linePitch="312" w:charSpace="0"/>
        </w:sectPr>
      </w:pPr>
    </w:p>
    <w:bookmarkEnd w:id="41"/>
    <w:p w14:paraId="53ABBECB">
      <w:pPr>
        <w:spacing w:line="20" w:lineRule="exact"/>
        <w:jc w:val="center"/>
        <w:rPr>
          <w:rFonts w:ascii="黑体" w:hAnsi="黑体" w:eastAsia="黑体"/>
          <w:color w:val="auto"/>
          <w:sz w:val="32"/>
          <w:szCs w:val="32"/>
        </w:rPr>
      </w:pPr>
      <w:bookmarkStart w:id="42" w:name="BookMark4"/>
    </w:p>
    <w:p w14:paraId="09129A56">
      <w:pPr>
        <w:spacing w:line="20" w:lineRule="exact"/>
        <w:jc w:val="center"/>
        <w:rPr>
          <w:rFonts w:ascii="黑体" w:hAnsi="黑体" w:eastAsia="黑体"/>
          <w:color w:val="auto"/>
          <w:sz w:val="32"/>
          <w:szCs w:val="32"/>
        </w:rPr>
      </w:pPr>
    </w:p>
    <w:sdt>
      <w:sdtPr>
        <w:rPr>
          <w:color w:val="auto"/>
        </w:rPr>
        <w:tag w:val="NEW_STAND_NAME"/>
        <w:id w:val="595910757"/>
        <w:lock w:val="sdtLocked"/>
        <w:placeholder>
          <w:docPart w:val="8B3C895CBA2E4C0FBFCFA5AA0A523285"/>
        </w:placeholder>
      </w:sdtPr>
      <w:sdtEndPr>
        <w:rPr>
          <w:rFonts w:hint="eastAsia" w:cs="黑体"/>
          <w:color w:val="auto"/>
          <w:sz w:val="30"/>
          <w:szCs w:val="30"/>
        </w:rPr>
      </w:sdtEndPr>
      <w:sdtContent>
        <w:p w14:paraId="11530F03">
          <w:pPr>
            <w:pStyle w:val="187"/>
            <w:spacing w:before="3" w:beforeLines="1" w:after="686" w:afterLines="220"/>
            <w:rPr>
              <w:rFonts w:cs="黑体"/>
              <w:color w:val="auto"/>
              <w:sz w:val="30"/>
              <w:szCs w:val="30"/>
            </w:rPr>
          </w:pPr>
          <w:bookmarkStart w:id="43" w:name="NEW_STAND_NAME"/>
          <w:r>
            <w:rPr>
              <w:rFonts w:hint="eastAsia" w:cs="黑体"/>
              <w:color w:val="auto"/>
              <w:sz w:val="30"/>
              <w:szCs w:val="30"/>
            </w:rPr>
            <w:t>排水系统工程数智清污分流技术标准</w:t>
          </w:r>
        </w:p>
      </w:sdtContent>
    </w:sdt>
    <w:bookmarkEnd w:id="43"/>
    <w:p w14:paraId="394A0199">
      <w:pPr>
        <w:pStyle w:val="114"/>
        <w:spacing w:before="312" w:after="312"/>
        <w:ind w:left="0"/>
        <w:jc w:val="left"/>
        <w:rPr>
          <w:rFonts w:hAnsi="黑体" w:cs="黑体"/>
          <w:color w:val="auto"/>
          <w:szCs w:val="21"/>
        </w:rPr>
      </w:pPr>
      <w:bookmarkStart w:id="44" w:name="_Toc80689186"/>
      <w:bookmarkStart w:id="45" w:name="_Toc141082728"/>
      <w:bookmarkStart w:id="46" w:name="_Toc80690998"/>
      <w:bookmarkStart w:id="47" w:name="_Toc138670265"/>
      <w:bookmarkStart w:id="48" w:name="_Toc82425960"/>
      <w:bookmarkStart w:id="49" w:name="_Toc26986530"/>
      <w:bookmarkStart w:id="50" w:name="_Toc80630661"/>
      <w:bookmarkStart w:id="51" w:name="_Toc26648465"/>
      <w:bookmarkStart w:id="52" w:name="_Toc26718930"/>
      <w:bookmarkStart w:id="53" w:name="_Toc82425897"/>
      <w:bookmarkStart w:id="54" w:name="_Toc80691141"/>
      <w:bookmarkStart w:id="55" w:name="_Toc114146173"/>
      <w:bookmarkStart w:id="56" w:name="_Toc17233325"/>
      <w:bookmarkStart w:id="57" w:name="_Toc70432398"/>
      <w:bookmarkStart w:id="58" w:name="_Toc114145700"/>
      <w:bookmarkStart w:id="59" w:name="_Toc114152359"/>
      <w:bookmarkStart w:id="60" w:name="_Toc82425031"/>
      <w:bookmarkStart w:id="61" w:name="_Toc122352761"/>
      <w:bookmarkStart w:id="62" w:name="_Toc14865"/>
      <w:bookmarkStart w:id="63" w:name="_Toc24884211"/>
      <w:bookmarkStart w:id="64" w:name="_Toc80690588"/>
      <w:bookmarkStart w:id="65" w:name="_Toc80692010"/>
      <w:bookmarkStart w:id="66" w:name="_Toc113526959"/>
      <w:bookmarkStart w:id="67" w:name="_Toc82425073"/>
      <w:bookmarkStart w:id="68" w:name="_Toc122352736"/>
      <w:bookmarkStart w:id="69" w:name="_Toc80801547"/>
      <w:bookmarkStart w:id="70" w:name="_Toc114152327"/>
      <w:bookmarkStart w:id="71" w:name="_Toc80629134"/>
      <w:bookmarkStart w:id="72" w:name="_Toc26986771"/>
      <w:bookmarkStart w:id="73" w:name="_Toc80803098"/>
      <w:bookmarkStart w:id="74" w:name="_Toc24884218"/>
      <w:bookmarkStart w:id="75" w:name="_Toc76568195"/>
      <w:bookmarkStart w:id="76" w:name="_Toc17233333"/>
      <w:bookmarkStart w:id="77" w:name="_Toc76566629"/>
      <w:bookmarkStart w:id="78" w:name="_Toc114145187"/>
      <w:bookmarkStart w:id="79" w:name="_Toc80628397"/>
      <w:bookmarkStart w:id="80" w:name="_Toc79397020"/>
      <w:bookmarkStart w:id="81" w:name="_Toc80627798"/>
      <w:bookmarkStart w:id="82" w:name="_Toc80690682"/>
      <w:bookmarkStart w:id="83" w:name="_Toc8559"/>
      <w:r>
        <w:rPr>
          <w:rFonts w:hint="eastAsia" w:hAnsi="黑体" w:cs="黑体"/>
          <w:color w:val="auto"/>
          <w:szCs w:val="21"/>
        </w:rPr>
        <w:t>范围</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264846E0">
      <w:pPr>
        <w:pStyle w:val="41"/>
        <w:tabs>
          <w:tab w:val="center" w:pos="4201"/>
          <w:tab w:val="right" w:leader="dot" w:pos="9298"/>
        </w:tabs>
        <w:rPr>
          <w:rFonts w:hint="default" w:hAnsi="宋体" w:cs="宋体"/>
          <w:color w:val="auto"/>
          <w:szCs w:val="21"/>
          <w:lang w:val="en-US" w:eastAsia="zh-CN"/>
        </w:rPr>
      </w:pPr>
      <w:bookmarkStart w:id="84" w:name="_Toc17233326"/>
      <w:bookmarkStart w:id="85" w:name="_Toc24884219"/>
      <w:bookmarkStart w:id="86" w:name="_Toc17233334"/>
      <w:bookmarkStart w:id="87" w:name="_Toc26648466"/>
      <w:bookmarkStart w:id="88" w:name="_Toc24884212"/>
      <w:r>
        <w:rPr>
          <w:rFonts w:hint="eastAsia" w:hAnsi="宋体" w:cs="宋体"/>
          <w:color w:val="auto"/>
          <w:szCs w:val="21"/>
        </w:rPr>
        <w:t>本文件</w:t>
      </w:r>
      <w:r>
        <w:rPr>
          <w:rFonts w:hint="eastAsia" w:hAnsi="宋体" w:cs="宋体"/>
          <w:color w:val="auto"/>
          <w:szCs w:val="21"/>
          <w:lang w:val="en-US" w:eastAsia="zh-CN"/>
        </w:rPr>
        <w:t>规定了排水系统的管网清污分流工程、管网数字化工程、管网智能化工程、智慧排水系统及运维管理的技术要求。</w:t>
      </w:r>
    </w:p>
    <w:p w14:paraId="64DBEC55">
      <w:pPr>
        <w:pStyle w:val="66"/>
        <w:ind w:firstLine="420"/>
        <w:rPr>
          <w:rFonts w:hAnsi="宋体" w:cs="宋体"/>
          <w:color w:val="auto"/>
          <w:szCs w:val="21"/>
        </w:rPr>
      </w:pPr>
      <w:r>
        <w:rPr>
          <w:rFonts w:hint="eastAsia" w:hAnsi="宋体" w:cs="宋体"/>
          <w:color w:val="auto"/>
          <w:szCs w:val="21"/>
        </w:rPr>
        <w:t>本文件适用于湖北省现有雨污分流区域、合流制区域排水系统</w:t>
      </w:r>
      <w:r>
        <w:rPr>
          <w:rFonts w:hint="eastAsia" w:hAnsi="宋体" w:cs="宋体"/>
          <w:color w:val="auto"/>
          <w:szCs w:val="21"/>
          <w:lang w:val="en-US" w:eastAsia="zh-CN"/>
        </w:rPr>
        <w:t>工程的</w:t>
      </w:r>
      <w:r>
        <w:rPr>
          <w:rFonts w:hint="eastAsia" w:hAnsi="宋体" w:cs="宋体"/>
          <w:color w:val="auto"/>
          <w:szCs w:val="21"/>
        </w:rPr>
        <w:t>数智清污分流改造。</w:t>
      </w:r>
    </w:p>
    <w:p w14:paraId="288625F1">
      <w:pPr>
        <w:pStyle w:val="114"/>
        <w:spacing w:before="312" w:after="312"/>
        <w:ind w:left="0"/>
        <w:jc w:val="left"/>
        <w:rPr>
          <w:rFonts w:hAnsi="黑体" w:cs="黑体"/>
          <w:color w:val="auto"/>
          <w:szCs w:val="21"/>
        </w:rPr>
      </w:pPr>
      <w:bookmarkStart w:id="89" w:name="_Toc76566630"/>
      <w:bookmarkStart w:id="90" w:name="_Toc80689187"/>
      <w:bookmarkStart w:id="91" w:name="_Toc82425032"/>
      <w:bookmarkStart w:id="92" w:name="_Toc80627799"/>
      <w:bookmarkStart w:id="93" w:name="_Toc114145188"/>
      <w:bookmarkStart w:id="94" w:name="_Toc113526960"/>
      <w:bookmarkStart w:id="95" w:name="_Toc122352737"/>
      <w:bookmarkStart w:id="96" w:name="_Toc82425074"/>
      <w:bookmarkStart w:id="97" w:name="_Toc80629135"/>
      <w:bookmarkStart w:id="98" w:name="_Toc138670266"/>
      <w:bookmarkStart w:id="99" w:name="_Toc80801548"/>
      <w:bookmarkStart w:id="100" w:name="_Toc70432399"/>
      <w:bookmarkStart w:id="101" w:name="_Toc26986531"/>
      <w:bookmarkStart w:id="102" w:name="_Toc114145701"/>
      <w:bookmarkStart w:id="103" w:name="_Toc80690589"/>
      <w:bookmarkStart w:id="104" w:name="_Toc114152328"/>
      <w:bookmarkStart w:id="105" w:name="_Toc80690999"/>
      <w:bookmarkStart w:id="106" w:name="_Toc80690683"/>
      <w:bookmarkStart w:id="107" w:name="_Toc76568196"/>
      <w:bookmarkStart w:id="108" w:name="_Toc80692011"/>
      <w:bookmarkStart w:id="109" w:name="_Toc26718931"/>
      <w:bookmarkStart w:id="110" w:name="_Toc141082729"/>
      <w:bookmarkStart w:id="111" w:name="_Toc80691142"/>
      <w:bookmarkStart w:id="112" w:name="_Toc80803099"/>
      <w:bookmarkStart w:id="113" w:name="_Toc82425898"/>
      <w:bookmarkStart w:id="114" w:name="_Toc82425961"/>
      <w:bookmarkStart w:id="115" w:name="_Toc25256"/>
      <w:bookmarkStart w:id="116" w:name="_Toc79397021"/>
      <w:bookmarkStart w:id="117" w:name="_Toc114152360"/>
      <w:bookmarkStart w:id="118" w:name="_Toc26986772"/>
      <w:bookmarkStart w:id="119" w:name="_Toc114146174"/>
      <w:bookmarkStart w:id="120" w:name="_Toc122352762"/>
      <w:bookmarkStart w:id="121" w:name="_Toc80628398"/>
      <w:bookmarkStart w:id="122" w:name="_Toc80630662"/>
      <w:bookmarkStart w:id="123" w:name="_Toc7646"/>
      <w:r>
        <w:rPr>
          <w:rFonts w:hint="eastAsia" w:hAnsi="黑体" w:cs="黑体"/>
          <w:color w:val="auto"/>
          <w:szCs w:val="21"/>
        </w:rPr>
        <w:t>规范性引用文件</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sdt>
      <w:sdtPr>
        <w:rPr>
          <w:rFonts w:hint="eastAsia" w:hAnsi="宋体" w:cs="宋体"/>
          <w:color w:val="auto"/>
          <w:szCs w:val="21"/>
        </w:rPr>
        <w:id w:val="715848253"/>
        <w:placeholder>
          <w:docPart w:val="2AD2D8C07FBB4A14883CE3E7D533119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hAnsi="宋体" w:cs="宋体"/>
          <w:color w:val="auto"/>
          <w:szCs w:val="21"/>
        </w:rPr>
      </w:sdtEndPr>
      <w:sdtContent>
        <w:p w14:paraId="667EBC05">
          <w:pPr>
            <w:pStyle w:val="66"/>
            <w:ind w:firstLine="420"/>
            <w:rPr>
              <w:rFonts w:hAnsi="宋体" w:cs="宋体"/>
              <w:color w:val="auto"/>
              <w:szCs w:val="21"/>
            </w:rPr>
          </w:pPr>
          <w:r>
            <w:rPr>
              <w:rFonts w:hint="eastAsia" w:hAnsi="宋体" w:cs="宋体"/>
              <w:color w:val="auto"/>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8AD6020">
      <w:pPr>
        <w:pStyle w:val="41"/>
        <w:rPr>
          <w:rFonts w:hint="eastAsia" w:cs="Calibri"/>
          <w:color w:val="auto"/>
          <w:lang w:val="en-US" w:eastAsia="zh-CN"/>
        </w:rPr>
      </w:pPr>
      <w:r>
        <w:rPr>
          <w:rFonts w:hint="eastAsia" w:cs="Calibri"/>
          <w:color w:val="auto"/>
          <w:lang w:val="en-US" w:eastAsia="zh-CN"/>
        </w:rPr>
        <w:t>GB/T 2260-2007 中华人民共和国行政区划代码</w:t>
      </w:r>
    </w:p>
    <w:p w14:paraId="3A6ECD59">
      <w:pPr>
        <w:pStyle w:val="41"/>
        <w:rPr>
          <w:rFonts w:cs="宋体"/>
          <w:color w:val="auto"/>
        </w:rPr>
      </w:pPr>
      <w:r>
        <w:rPr>
          <w:rFonts w:hint="eastAsia"/>
          <w:color w:val="auto"/>
        </w:rPr>
        <w:t>GB/T 30948 泵站技术管理规程</w:t>
      </w:r>
    </w:p>
    <w:p w14:paraId="26C854BD">
      <w:pPr>
        <w:pStyle w:val="41"/>
        <w:rPr>
          <w:color w:val="auto"/>
        </w:rPr>
      </w:pPr>
      <w:r>
        <w:rPr>
          <w:rFonts w:hint="eastAsia"/>
          <w:color w:val="auto"/>
        </w:rPr>
        <w:t>GB/T 31962 污水排入城镇下水道水质标准</w:t>
      </w:r>
    </w:p>
    <w:p w14:paraId="20E45DD8">
      <w:pPr>
        <w:pStyle w:val="41"/>
        <w:rPr>
          <w:rFonts w:hAnsi="宋体"/>
          <w:color w:val="auto"/>
          <w:szCs w:val="21"/>
        </w:rPr>
      </w:pPr>
      <w:r>
        <w:rPr>
          <w:rFonts w:hint="eastAsia"/>
          <w:color w:val="auto"/>
        </w:rPr>
        <w:t>GB 50014-2021 室外排水设计标准</w:t>
      </w:r>
    </w:p>
    <w:p w14:paraId="22DE6FEC">
      <w:pPr>
        <w:pStyle w:val="41"/>
        <w:rPr>
          <w:rFonts w:cs="宋体"/>
          <w:color w:val="auto"/>
        </w:rPr>
      </w:pPr>
      <w:r>
        <w:rPr>
          <w:rFonts w:hint="eastAsia" w:cs="Calibri"/>
          <w:color w:val="auto"/>
        </w:rPr>
        <w:t>GB 51174 城镇雨水调蓄工程技术规范</w:t>
      </w:r>
    </w:p>
    <w:p w14:paraId="6D0FF181">
      <w:pPr>
        <w:pStyle w:val="41"/>
        <w:rPr>
          <w:rFonts w:hint="default" w:eastAsia="宋体"/>
          <w:color w:val="auto"/>
          <w:lang w:val="en-US" w:eastAsia="zh-CN"/>
        </w:rPr>
      </w:pPr>
      <w:r>
        <w:rPr>
          <w:rFonts w:hint="eastAsia"/>
          <w:color w:val="auto"/>
        </w:rPr>
        <w:t>GB/T 51187 城市排水防涝设施数据采集与维护技术规范</w:t>
      </w:r>
    </w:p>
    <w:p w14:paraId="340840F5">
      <w:pPr>
        <w:pStyle w:val="41"/>
        <w:rPr>
          <w:color w:val="auto"/>
        </w:rPr>
      </w:pPr>
      <w:r>
        <w:rPr>
          <w:rFonts w:hint="eastAsia"/>
          <w:color w:val="auto"/>
        </w:rPr>
        <w:t>CJJ 6 城镇排水管道维护安全技术规程</w:t>
      </w:r>
    </w:p>
    <w:p w14:paraId="362CE771">
      <w:pPr>
        <w:pStyle w:val="41"/>
        <w:rPr>
          <w:color w:val="auto"/>
        </w:rPr>
      </w:pPr>
      <w:r>
        <w:rPr>
          <w:rFonts w:hint="eastAsia"/>
          <w:color w:val="auto"/>
        </w:rPr>
        <w:t>CJJ 68 城镇排水管渠与泵站运行、维护及安全技术规程</w:t>
      </w:r>
    </w:p>
    <w:p w14:paraId="0800D57B">
      <w:pPr>
        <w:pStyle w:val="41"/>
        <w:rPr>
          <w:rFonts w:hint="eastAsia" w:cs="Calibri"/>
          <w:color w:val="auto"/>
        </w:rPr>
      </w:pPr>
      <w:r>
        <w:rPr>
          <w:rFonts w:hint="eastAsia" w:cs="Calibri"/>
          <w:color w:val="auto"/>
        </w:rPr>
        <w:t>CJJ 181 城镇排水管道检测与评估技术规程</w:t>
      </w:r>
    </w:p>
    <w:p w14:paraId="165D3CED">
      <w:pPr>
        <w:pStyle w:val="41"/>
        <w:rPr>
          <w:rFonts w:hint="default" w:cs="Calibri"/>
          <w:color w:val="auto"/>
          <w:lang w:val="en-US" w:eastAsia="zh-CN"/>
        </w:rPr>
      </w:pPr>
      <w:r>
        <w:rPr>
          <w:rFonts w:hint="eastAsia" w:cs="Calibri"/>
          <w:color w:val="auto"/>
          <w:lang w:val="en-US" w:eastAsia="zh-CN"/>
        </w:rPr>
        <w:t>CJJ/T 210 城镇排水管道非开挖修复更新工程技术规程</w:t>
      </w:r>
    </w:p>
    <w:p w14:paraId="2BA1796F">
      <w:pPr>
        <w:pStyle w:val="41"/>
        <w:rPr>
          <w:rFonts w:hint="eastAsia" w:cs="Calibri"/>
          <w:color w:val="auto"/>
          <w:lang w:val="en-US" w:eastAsia="zh-CN"/>
        </w:rPr>
      </w:pPr>
      <w:r>
        <w:rPr>
          <w:rFonts w:hint="eastAsia" w:cs="Calibri"/>
          <w:color w:val="auto"/>
          <w:lang w:val="en-US" w:eastAsia="zh-CN"/>
        </w:rPr>
        <w:t>CJ/T 252 城镇排水水质水量在线监测系统技术要求</w:t>
      </w:r>
    </w:p>
    <w:p w14:paraId="44EC0380">
      <w:pPr>
        <w:pStyle w:val="114"/>
        <w:spacing w:before="312" w:after="312"/>
        <w:ind w:left="0"/>
        <w:jc w:val="left"/>
        <w:rPr>
          <w:rFonts w:hAnsi="黑体" w:cs="黑体"/>
          <w:color w:val="auto"/>
          <w:szCs w:val="21"/>
        </w:rPr>
      </w:pPr>
      <w:bookmarkStart w:id="124" w:name="_Toc141082730"/>
      <w:bookmarkStart w:id="125" w:name="_Toc27333"/>
      <w:bookmarkStart w:id="126" w:name="_Toc19566"/>
      <w:r>
        <w:rPr>
          <w:rFonts w:hint="eastAsia" w:hAnsi="黑体" w:cs="黑体"/>
          <w:color w:val="auto"/>
          <w:szCs w:val="21"/>
        </w:rPr>
        <w:t>术语</w:t>
      </w:r>
      <w:bookmarkEnd w:id="124"/>
      <w:r>
        <w:rPr>
          <w:rFonts w:hint="eastAsia" w:hAnsi="黑体" w:cs="黑体"/>
          <w:color w:val="auto"/>
          <w:szCs w:val="21"/>
        </w:rPr>
        <w:t>与定义</w:t>
      </w:r>
      <w:bookmarkEnd w:id="125"/>
      <w:bookmarkEnd w:id="126"/>
    </w:p>
    <w:p w14:paraId="525C9C2A">
      <w:pPr>
        <w:pStyle w:val="41"/>
        <w:tabs>
          <w:tab w:val="center" w:pos="4201"/>
          <w:tab w:val="right" w:leader="dot" w:pos="9298"/>
        </w:tabs>
        <w:autoSpaceDE/>
        <w:autoSpaceDN/>
        <w:rPr>
          <w:rFonts w:hAnsi="宋体" w:cs="宋体"/>
          <w:color w:val="auto"/>
          <w:szCs w:val="21"/>
        </w:rPr>
      </w:pPr>
      <w:bookmarkStart w:id="127" w:name="_Toc7670"/>
      <w:r>
        <w:rPr>
          <w:rFonts w:hint="eastAsia" w:hAnsi="宋体" w:cs="宋体"/>
          <w:color w:val="auto"/>
          <w:szCs w:val="21"/>
        </w:rPr>
        <w:t>下列术语和定义适用于本文件。</w:t>
      </w:r>
    </w:p>
    <w:p w14:paraId="0D8948DB">
      <w:pPr>
        <w:pStyle w:val="233"/>
        <w:ind w:left="420" w:hanging="420" w:hangingChars="200"/>
        <w:rPr>
          <w:rFonts w:hint="eastAsia" w:hAnsi="Times New Roman" w:cs="Times New Roman"/>
          <w:color w:val="auto"/>
          <w:highlight w:val="none"/>
          <w:lang w:val="en-US" w:eastAsia="zh-CN"/>
        </w:rPr>
      </w:pPr>
    </w:p>
    <w:p w14:paraId="5C2056F2">
      <w:pPr>
        <w:pStyle w:val="66"/>
        <w:rPr>
          <w:rFonts w:hint="default" w:ascii="黑体" w:hAnsi="黑体" w:eastAsia="黑体" w:cs="Times New Roman"/>
          <w:color w:val="auto"/>
          <w:lang w:val="en-US" w:eastAsia="zh-CN"/>
        </w:rPr>
      </w:pPr>
      <w:r>
        <w:rPr>
          <w:rFonts w:hint="eastAsia" w:ascii="黑体" w:hAnsi="黑体" w:eastAsia="黑体" w:cs="Times New Roman"/>
          <w:color w:val="auto"/>
        </w:rPr>
        <w:t>排水管网 drainage pipe network</w:t>
      </w:r>
    </w:p>
    <w:p w14:paraId="0ED2F574">
      <w:pPr>
        <w:pStyle w:val="15"/>
        <w:spacing w:after="0" w:line="240" w:lineRule="auto"/>
        <w:ind w:firstLine="420"/>
        <w:rPr>
          <w:rFonts w:hint="eastAsia" w:cs="Times New Roman"/>
          <w:color w:val="auto"/>
          <w:kern w:val="0"/>
          <w:highlight w:val="none"/>
        </w:rPr>
      </w:pPr>
      <w:r>
        <w:rPr>
          <w:rFonts w:hint="eastAsia" w:cs="Times New Roman"/>
          <w:color w:val="auto"/>
          <w:kern w:val="0"/>
          <w:highlight w:val="none"/>
        </w:rPr>
        <w:t>排水系统中用于收集、输送、分配雨水、污水、再生水的管道、渠道、泵站、调蓄池等排水设施的总称。</w:t>
      </w:r>
    </w:p>
    <w:p w14:paraId="00B8A40B">
      <w:pPr>
        <w:pStyle w:val="233"/>
        <w:ind w:left="420" w:hanging="420" w:hangingChars="200"/>
        <w:rPr>
          <w:rFonts w:hint="eastAsia" w:hAnsi="Times New Roman" w:cs="Times New Roman"/>
          <w:color w:val="auto"/>
          <w:highlight w:val="none"/>
          <w:lang w:val="en-US" w:eastAsia="zh-CN"/>
        </w:rPr>
      </w:pPr>
    </w:p>
    <w:p w14:paraId="032D2630">
      <w:pPr>
        <w:pStyle w:val="66"/>
        <w:rPr>
          <w:rFonts w:hint="eastAsia" w:ascii="黑体" w:hAnsi="黑体" w:eastAsia="黑体" w:cs="Times New Roman"/>
          <w:color w:val="auto"/>
          <w:lang w:val="en-US" w:eastAsia="zh-CN"/>
        </w:rPr>
      </w:pPr>
      <w:r>
        <w:rPr>
          <w:rFonts w:hint="eastAsia" w:ascii="黑体" w:hAnsi="黑体" w:eastAsia="黑体" w:cs="Times New Roman"/>
          <w:color w:val="auto"/>
        </w:rPr>
        <w:t xml:space="preserve">智慧排水系统 </w:t>
      </w:r>
      <w:r>
        <w:rPr>
          <w:rFonts w:hint="eastAsia" w:ascii="黑体" w:hAnsi="黑体" w:eastAsia="黑体" w:cs="Times New Roman"/>
          <w:color w:val="auto"/>
          <w:lang w:val="en-US" w:eastAsia="zh-CN"/>
        </w:rPr>
        <w:t>s</w:t>
      </w:r>
      <w:r>
        <w:rPr>
          <w:rFonts w:hint="eastAsia" w:ascii="黑体" w:hAnsi="黑体" w:eastAsia="黑体" w:cs="Times New Roman"/>
          <w:color w:val="auto"/>
        </w:rPr>
        <w:t xml:space="preserve">mart </w:t>
      </w:r>
      <w:r>
        <w:rPr>
          <w:rFonts w:hint="eastAsia" w:ascii="黑体" w:hAnsi="黑体" w:eastAsia="黑体" w:cs="Times New Roman"/>
          <w:color w:val="auto"/>
          <w:lang w:val="en-US" w:eastAsia="zh-CN"/>
        </w:rPr>
        <w:t>d</w:t>
      </w:r>
      <w:r>
        <w:rPr>
          <w:rFonts w:hint="eastAsia" w:ascii="黑体" w:hAnsi="黑体" w:eastAsia="黑体" w:cs="Times New Roman"/>
          <w:color w:val="auto"/>
        </w:rPr>
        <w:t xml:space="preserve">rainage </w:t>
      </w:r>
      <w:r>
        <w:rPr>
          <w:rFonts w:hint="eastAsia" w:ascii="黑体" w:hAnsi="黑体" w:eastAsia="黑体" w:cs="Times New Roman"/>
          <w:color w:val="auto"/>
          <w:lang w:val="en-US" w:eastAsia="zh-CN"/>
        </w:rPr>
        <w:t>s</w:t>
      </w:r>
      <w:r>
        <w:rPr>
          <w:rFonts w:hint="eastAsia" w:ascii="黑体" w:hAnsi="黑体" w:eastAsia="黑体" w:cs="Times New Roman"/>
          <w:color w:val="auto"/>
        </w:rPr>
        <w:t>ystem</w:t>
      </w:r>
      <w:r>
        <w:rPr>
          <w:rFonts w:hint="eastAsia" w:ascii="黑体" w:hAnsi="黑体" w:eastAsia="黑体" w:cs="Times New Roman"/>
          <w:color w:val="auto"/>
          <w:lang w:val="en-US" w:eastAsia="zh-CN"/>
        </w:rPr>
        <w:t xml:space="preserve"> </w:t>
      </w:r>
    </w:p>
    <w:p w14:paraId="0CD58745">
      <w:pPr>
        <w:pStyle w:val="41"/>
        <w:rPr>
          <w:rFonts w:hint="eastAsia" w:cs="Calibri"/>
          <w:color w:val="auto"/>
        </w:rPr>
      </w:pPr>
      <w:r>
        <w:rPr>
          <w:rFonts w:hint="eastAsia" w:cs="Calibri"/>
          <w:color w:val="auto"/>
        </w:rPr>
        <w:t>以排水一张图为基础，充分利用感知监测网、物联网、云计算、移动互联网和AI等先进技术，实现对排水系统的实时监测、预警、管理和调度。</w:t>
      </w:r>
    </w:p>
    <w:p w14:paraId="1483197E">
      <w:pPr>
        <w:pStyle w:val="233"/>
        <w:ind w:left="420" w:hanging="420" w:hangingChars="200"/>
        <w:rPr>
          <w:rFonts w:hint="eastAsia" w:hAnsi="Times New Roman" w:cs="Times New Roman"/>
          <w:color w:val="auto"/>
          <w:highlight w:val="none"/>
          <w:lang w:val="en-US" w:eastAsia="zh-CN"/>
        </w:rPr>
      </w:pPr>
    </w:p>
    <w:p w14:paraId="5000FA3B">
      <w:pPr>
        <w:pStyle w:val="66"/>
        <w:rPr>
          <w:rFonts w:hint="eastAsia" w:ascii="黑体" w:hAnsi="黑体" w:eastAsia="黑体" w:cs="Times New Roman"/>
          <w:color w:val="auto"/>
        </w:rPr>
      </w:pPr>
      <w:r>
        <w:rPr>
          <w:rFonts w:hint="eastAsia" w:ascii="黑体" w:hAnsi="黑体" w:eastAsia="黑体" w:cs="Times New Roman"/>
          <w:color w:val="auto"/>
        </w:rPr>
        <w:t>监测点 monitoring point</w:t>
      </w:r>
    </w:p>
    <w:p w14:paraId="2276FD77">
      <w:pPr>
        <w:pStyle w:val="41"/>
        <w:rPr>
          <w:rFonts w:hint="eastAsia" w:cs="Calibri"/>
          <w:color w:val="auto"/>
        </w:rPr>
      </w:pPr>
      <w:r>
        <w:rPr>
          <w:rFonts w:hint="eastAsia" w:cs="Calibri"/>
          <w:color w:val="auto"/>
        </w:rPr>
        <w:t>为实现对排水管网诊断分析，需要安装在线监测设备的位置。</w:t>
      </w:r>
    </w:p>
    <w:p w14:paraId="1860D6C8">
      <w:pPr>
        <w:pStyle w:val="233"/>
        <w:ind w:left="420" w:hanging="420" w:hangingChars="200"/>
        <w:rPr>
          <w:rFonts w:hint="eastAsia" w:hAnsi="Times New Roman" w:cs="Times New Roman"/>
          <w:color w:val="auto"/>
          <w:highlight w:val="none"/>
          <w:lang w:val="en-US" w:eastAsia="zh-CN"/>
        </w:rPr>
      </w:pPr>
    </w:p>
    <w:p w14:paraId="739804CD">
      <w:pPr>
        <w:pStyle w:val="66"/>
        <w:rPr>
          <w:rFonts w:hint="eastAsia" w:ascii="黑体" w:hAnsi="黑体" w:eastAsia="黑体" w:cs="Times New Roman"/>
          <w:color w:val="auto"/>
        </w:rPr>
      </w:pPr>
      <w:r>
        <w:rPr>
          <w:rFonts w:hint="eastAsia" w:ascii="黑体" w:hAnsi="黑体" w:eastAsia="黑体" w:cs="Times New Roman"/>
          <w:color w:val="auto"/>
        </w:rPr>
        <w:t>重点排水户 key wastewater discharge</w:t>
      </w:r>
    </w:p>
    <w:p w14:paraId="57DFC240">
      <w:pPr>
        <w:pStyle w:val="41"/>
        <w:tabs>
          <w:tab w:val="center" w:pos="4201"/>
          <w:tab w:val="right" w:leader="dot" w:pos="9298"/>
        </w:tabs>
        <w:rPr>
          <w:rFonts w:hint="eastAsia" w:hAnsi="宋体" w:cs="宋体"/>
          <w:color w:val="auto"/>
          <w:szCs w:val="21"/>
        </w:rPr>
      </w:pPr>
      <w:r>
        <w:rPr>
          <w:rFonts w:hint="eastAsia" w:hAnsi="宋体" w:cs="宋体"/>
          <w:color w:val="auto"/>
          <w:szCs w:val="21"/>
        </w:rPr>
        <w:t>影响水质的排水户或排水量大的排水户。</w:t>
      </w:r>
    </w:p>
    <w:p w14:paraId="3BADE48D">
      <w:pPr>
        <w:pStyle w:val="233"/>
        <w:ind w:left="420" w:hanging="420" w:hangingChars="200"/>
        <w:rPr>
          <w:rFonts w:hint="eastAsia" w:hAnsi="Times New Roman" w:cs="Times New Roman"/>
          <w:color w:val="auto"/>
          <w:highlight w:val="none"/>
          <w:lang w:val="en-US" w:eastAsia="zh-CN"/>
        </w:rPr>
      </w:pPr>
    </w:p>
    <w:p w14:paraId="52329743">
      <w:pPr>
        <w:pStyle w:val="66"/>
        <w:rPr>
          <w:rFonts w:hint="eastAsia" w:ascii="黑体" w:hAnsi="黑体" w:eastAsia="黑体" w:cs="Times New Roman"/>
          <w:color w:val="auto"/>
        </w:rPr>
      </w:pPr>
      <w:r>
        <w:rPr>
          <w:rFonts w:hint="eastAsia" w:ascii="黑体" w:hAnsi="黑体" w:eastAsia="黑体" w:cs="Times New Roman"/>
          <w:color w:val="auto"/>
          <w:lang w:val="en-US" w:eastAsia="zh-CN"/>
        </w:rPr>
        <w:t>智能分流井</w:t>
      </w:r>
      <w:r>
        <w:rPr>
          <w:rFonts w:hint="eastAsia" w:ascii="黑体" w:hAnsi="黑体" w:eastAsia="黑体" w:cs="Times New Roman"/>
          <w:color w:val="auto"/>
        </w:rPr>
        <w:t xml:space="preserve"> </w:t>
      </w:r>
      <w:r>
        <w:rPr>
          <w:rFonts w:hint="eastAsia" w:ascii="黑体" w:hAnsi="黑体" w:eastAsia="黑体" w:cs="Times New Roman"/>
          <w:color w:val="auto"/>
          <w:lang w:val="en-US" w:eastAsia="zh-CN"/>
        </w:rPr>
        <w:t>i</w:t>
      </w:r>
      <w:r>
        <w:rPr>
          <w:rFonts w:hint="eastAsia" w:ascii="黑体" w:hAnsi="黑体" w:eastAsia="黑体" w:cs="Times New Roman"/>
          <w:color w:val="auto"/>
        </w:rPr>
        <w:t>ntelligent</w:t>
      </w:r>
      <w:r>
        <w:rPr>
          <w:rFonts w:hint="eastAsia" w:ascii="黑体" w:hAnsi="黑体" w:eastAsia="黑体" w:cs="Times New Roman"/>
          <w:color w:val="auto"/>
          <w:lang w:val="en-US" w:eastAsia="zh-CN"/>
        </w:rPr>
        <w:t xml:space="preserve"> f</w:t>
      </w:r>
      <w:r>
        <w:rPr>
          <w:rFonts w:hint="eastAsia" w:ascii="黑体" w:hAnsi="黑体" w:eastAsia="黑体" w:cs="Times New Roman"/>
          <w:color w:val="auto"/>
        </w:rPr>
        <w:t>low</w:t>
      </w:r>
      <w:r>
        <w:rPr>
          <w:rFonts w:hint="eastAsia" w:ascii="黑体" w:hAnsi="黑体" w:eastAsia="黑体" w:cs="Times New Roman"/>
          <w:color w:val="auto"/>
          <w:lang w:val="en-US" w:eastAsia="zh-CN"/>
        </w:rPr>
        <w:t xml:space="preserve"> d</w:t>
      </w:r>
      <w:r>
        <w:rPr>
          <w:rFonts w:hint="eastAsia" w:ascii="黑体" w:hAnsi="黑体" w:eastAsia="黑体" w:cs="Times New Roman"/>
          <w:color w:val="auto"/>
        </w:rPr>
        <w:t xml:space="preserve">iversion </w:t>
      </w:r>
      <w:r>
        <w:rPr>
          <w:rFonts w:hint="eastAsia" w:ascii="黑体" w:hAnsi="黑体" w:eastAsia="黑体" w:cs="Times New Roman"/>
          <w:color w:val="auto"/>
          <w:lang w:val="en-US" w:eastAsia="zh-CN"/>
        </w:rPr>
        <w:t>c</w:t>
      </w:r>
      <w:r>
        <w:rPr>
          <w:rFonts w:hint="eastAsia" w:ascii="黑体" w:hAnsi="黑体" w:eastAsia="黑体" w:cs="Times New Roman"/>
          <w:color w:val="auto"/>
        </w:rPr>
        <w:t>hamber</w:t>
      </w:r>
    </w:p>
    <w:p w14:paraId="519ADFAB">
      <w:pPr>
        <w:pStyle w:val="41"/>
        <w:tabs>
          <w:tab w:val="center" w:pos="4201"/>
          <w:tab w:val="right" w:leader="dot" w:pos="9298"/>
        </w:tabs>
        <w:rPr>
          <w:rFonts w:hint="eastAsia" w:ascii="Segoe UI" w:hAnsi="Segoe UI" w:eastAsia="宋体" w:cs="Segoe UI"/>
          <w:color w:val="auto"/>
          <w:spacing w:val="0"/>
          <w:sz w:val="21"/>
          <w:szCs w:val="21"/>
          <w:shd w:val="clear" w:fill="FFFFFF"/>
          <w:lang w:eastAsia="zh-CN"/>
        </w:rPr>
      </w:pPr>
      <w:r>
        <w:rPr>
          <w:rFonts w:ascii="Segoe UI" w:hAnsi="Segoe UI" w:eastAsia="Segoe UI" w:cs="Segoe UI"/>
          <w:i w:val="0"/>
          <w:iCs w:val="0"/>
          <w:caps w:val="0"/>
          <w:color w:val="auto"/>
          <w:spacing w:val="0"/>
          <w:sz w:val="21"/>
          <w:szCs w:val="21"/>
          <w:shd w:val="clear" w:fill="FFFFFF"/>
        </w:rPr>
        <w:t>基于物联网、传感器与自动控制技术，</w:t>
      </w:r>
      <w:r>
        <w:rPr>
          <w:rFonts w:hint="eastAsia" w:ascii="Segoe UI" w:hAnsi="Segoe UI" w:eastAsia="宋体" w:cs="Segoe UI"/>
          <w:i w:val="0"/>
          <w:iCs w:val="0"/>
          <w:caps w:val="0"/>
          <w:color w:val="auto"/>
          <w:spacing w:val="0"/>
          <w:sz w:val="21"/>
          <w:szCs w:val="21"/>
          <w:shd w:val="clear" w:fill="FFFFFF"/>
          <w:lang w:val="en-US" w:eastAsia="zh-CN"/>
        </w:rPr>
        <w:t>实现</w:t>
      </w:r>
      <w:r>
        <w:rPr>
          <w:rFonts w:ascii="Segoe UI" w:hAnsi="Segoe UI" w:eastAsia="Segoe UI" w:cs="Segoe UI"/>
          <w:color w:val="auto"/>
          <w:spacing w:val="0"/>
          <w:sz w:val="21"/>
          <w:szCs w:val="21"/>
          <w:shd w:val="clear" w:fill="FFFFFF"/>
        </w:rPr>
        <w:t>井内清污分流、溢流水位控制、防止倒流、截流管限流以及排水安全等功能的设施</w:t>
      </w:r>
      <w:r>
        <w:rPr>
          <w:rFonts w:ascii="Segoe UI" w:hAnsi="Segoe UI" w:eastAsia="Segoe UI" w:cs="Segoe UI"/>
          <w:i w:val="0"/>
          <w:iCs w:val="0"/>
          <w:caps w:val="0"/>
          <w:color w:val="auto"/>
          <w:spacing w:val="0"/>
          <w:sz w:val="21"/>
          <w:szCs w:val="21"/>
          <w:shd w:val="clear" w:fill="FFFFFF"/>
        </w:rPr>
        <w:t>，具备数据采集、逻辑决策与远程操控功能</w:t>
      </w:r>
      <w:r>
        <w:rPr>
          <w:rFonts w:hint="eastAsia" w:ascii="Segoe UI" w:hAnsi="Segoe UI" w:eastAsia="宋体" w:cs="Segoe UI"/>
          <w:color w:val="auto"/>
          <w:spacing w:val="0"/>
          <w:sz w:val="21"/>
          <w:szCs w:val="21"/>
          <w:shd w:val="clear" w:fill="FFFFFF"/>
          <w:lang w:eastAsia="zh-CN"/>
        </w:rPr>
        <w:t>。</w:t>
      </w:r>
    </w:p>
    <w:p w14:paraId="13BCCD56">
      <w:pPr>
        <w:pStyle w:val="233"/>
        <w:ind w:left="420" w:hanging="420" w:hangingChars="200"/>
        <w:rPr>
          <w:rFonts w:hint="eastAsia" w:hAnsi="Times New Roman" w:cs="Times New Roman"/>
          <w:color w:val="auto"/>
          <w:highlight w:val="none"/>
          <w:lang w:val="en-US" w:eastAsia="zh-CN"/>
        </w:rPr>
      </w:pPr>
    </w:p>
    <w:p w14:paraId="7E9067CA">
      <w:pPr>
        <w:pStyle w:val="66"/>
        <w:rPr>
          <w:rFonts w:hint="eastAsia" w:ascii="黑体" w:hAnsi="黑体" w:eastAsia="黑体" w:cs="Times New Roman"/>
          <w:color w:val="auto"/>
        </w:rPr>
      </w:pPr>
      <w:r>
        <w:rPr>
          <w:rFonts w:hint="eastAsia" w:ascii="黑体" w:hAnsi="黑体" w:eastAsia="黑体" w:cs="Times New Roman"/>
          <w:color w:val="auto"/>
          <w:lang w:val="en-US" w:eastAsia="zh-CN"/>
        </w:rPr>
        <w:t>动态感知设备</w:t>
      </w:r>
      <w:r>
        <w:rPr>
          <w:rFonts w:hint="eastAsia" w:ascii="黑体" w:hAnsi="黑体" w:eastAsia="黑体" w:cs="Times New Roman"/>
          <w:color w:val="auto"/>
        </w:rPr>
        <w:t>Dynamic Sensing Device</w:t>
      </w:r>
    </w:p>
    <w:p w14:paraId="3E0AF05C">
      <w:pPr>
        <w:pStyle w:val="41"/>
        <w:keepNext w:val="0"/>
        <w:keepLines w:val="0"/>
        <w:widowControl/>
        <w:suppressLineNumbers w:val="0"/>
        <w:tabs>
          <w:tab w:val="center" w:pos="4201"/>
          <w:tab w:val="right" w:leader="dot" w:pos="9298"/>
        </w:tabs>
        <w:jc w:val="left"/>
        <w:rPr>
          <w:rFonts w:ascii="Segoe UI" w:hAnsi="Segoe UI" w:eastAsia="Segoe UI" w:cs="Segoe UI"/>
          <w:color w:val="auto"/>
          <w:szCs w:val="21"/>
          <w:shd w:val="clear" w:fill="FFFFFF"/>
        </w:rPr>
      </w:pPr>
      <w:r>
        <w:rPr>
          <w:rFonts w:hint="eastAsia" w:ascii="Segoe UI" w:hAnsi="Segoe UI" w:eastAsia="Segoe UI" w:cs="Segoe UI"/>
          <w:color w:val="auto"/>
          <w:kern w:val="0"/>
          <w:sz w:val="21"/>
          <w:szCs w:val="21"/>
          <w:shd w:val="clear" w:fill="FFFFFF"/>
          <w:lang w:val="en-US" w:eastAsia="zh-CN" w:bidi="ar"/>
        </w:rPr>
        <w:t>能</w:t>
      </w:r>
      <w:r>
        <w:rPr>
          <w:rFonts w:hint="default" w:ascii="Segoe UI" w:hAnsi="Segoe UI" w:eastAsia="Segoe UI" w:cs="Segoe UI"/>
          <w:color w:val="auto"/>
          <w:kern w:val="0"/>
          <w:sz w:val="21"/>
          <w:szCs w:val="21"/>
          <w:shd w:val="clear" w:fill="FFFFFF"/>
          <w:lang w:val="en-US" w:eastAsia="zh-CN" w:bidi="ar"/>
        </w:rPr>
        <w:t>实现排水设施运行状态的在线信息采集、监测和预警等功能的</w:t>
      </w:r>
      <w:r>
        <w:rPr>
          <w:rFonts w:hint="eastAsia" w:ascii="Segoe UI" w:hAnsi="Segoe UI" w:eastAsia="Segoe UI" w:cs="Segoe UI"/>
          <w:color w:val="auto"/>
          <w:kern w:val="0"/>
          <w:sz w:val="21"/>
          <w:szCs w:val="21"/>
          <w:shd w:val="clear" w:fill="FFFFFF"/>
          <w:lang w:val="en-US" w:eastAsia="zh-CN" w:bidi="ar"/>
        </w:rPr>
        <w:t>设备。包括</w:t>
      </w:r>
      <w:r>
        <w:rPr>
          <w:rFonts w:hint="default" w:ascii="Segoe UI" w:hAnsi="Segoe UI" w:eastAsia="Segoe UI" w:cs="Segoe UI"/>
          <w:color w:val="auto"/>
          <w:kern w:val="0"/>
          <w:sz w:val="21"/>
          <w:szCs w:val="21"/>
          <w:shd w:val="clear" w:fill="FFFFFF"/>
          <w:lang w:val="en-US" w:eastAsia="zh-CN" w:bidi="ar"/>
        </w:rPr>
        <w:t>传感器、监测装置及相应的监测数据采集传输设备</w:t>
      </w:r>
      <w:r>
        <w:rPr>
          <w:rFonts w:hint="eastAsia" w:ascii="Segoe UI" w:hAnsi="Segoe UI" w:eastAsia="Segoe UI" w:cs="Segoe UI"/>
          <w:color w:val="auto"/>
          <w:kern w:val="0"/>
          <w:sz w:val="21"/>
          <w:szCs w:val="21"/>
          <w:shd w:val="clear" w:fill="FFFFFF"/>
          <w:lang w:val="en-US" w:eastAsia="zh-CN" w:bidi="ar"/>
        </w:rPr>
        <w:t>。</w:t>
      </w:r>
    </w:p>
    <w:p w14:paraId="3A0F26DE">
      <w:pPr>
        <w:pStyle w:val="233"/>
        <w:ind w:left="420" w:hanging="420" w:hangingChars="200"/>
        <w:rPr>
          <w:rFonts w:hint="eastAsia" w:hAnsi="Times New Roman" w:cs="Times New Roman"/>
          <w:color w:val="auto"/>
          <w:highlight w:val="none"/>
          <w:lang w:val="en-US" w:eastAsia="zh-CN"/>
        </w:rPr>
      </w:pPr>
    </w:p>
    <w:p w14:paraId="08E41C4F">
      <w:pPr>
        <w:pStyle w:val="66"/>
        <w:rPr>
          <w:rFonts w:hint="eastAsia" w:ascii="黑体" w:hAnsi="黑体" w:eastAsia="黑体" w:cs="Times New Roman"/>
          <w:color w:val="auto"/>
          <w:lang w:val="en-US" w:eastAsia="zh-CN"/>
        </w:rPr>
      </w:pPr>
      <w:r>
        <w:rPr>
          <w:rFonts w:hint="eastAsia" w:ascii="黑体" w:hAnsi="黑体" w:eastAsia="黑体" w:cs="Times New Roman"/>
          <w:color w:val="auto"/>
          <w:lang w:val="en-US" w:eastAsia="zh-CN"/>
        </w:rPr>
        <w:t>数智清污分流 Digital intelligence for clean water diversion</w:t>
      </w:r>
    </w:p>
    <w:p w14:paraId="6A715AF9">
      <w:pPr>
        <w:pStyle w:val="41"/>
        <w:tabs>
          <w:tab w:val="center" w:pos="4201"/>
          <w:tab w:val="right" w:leader="dot" w:pos="9298"/>
        </w:tabs>
        <w:rPr>
          <w:rFonts w:hint="eastAsia" w:hAnsi="宋体" w:cs="宋体"/>
          <w:color w:val="auto"/>
          <w:szCs w:val="21"/>
        </w:rPr>
      </w:pPr>
      <w:r>
        <w:rPr>
          <w:rFonts w:hint="eastAsia" w:hAnsi="宋体" w:cs="宋体"/>
          <w:color w:val="auto"/>
          <w:szCs w:val="21"/>
        </w:rPr>
        <w:t>通过智能分流设施和调蓄设施在排水管网上的应用，利用物联网、大数据和云计算等先进科技让清水与污水（生活污水、工业废水和初期雨水）分流，各行其道，污水进入污水处理厂和调蓄设施，清水直接排放至自然水体。</w:t>
      </w:r>
    </w:p>
    <w:bookmarkEnd w:id="42"/>
    <w:bookmarkEnd w:id="127"/>
    <w:p w14:paraId="138CFF4D">
      <w:pPr>
        <w:pStyle w:val="114"/>
        <w:spacing w:before="312" w:after="312"/>
        <w:ind w:left="0"/>
        <w:jc w:val="left"/>
        <w:rPr>
          <w:rFonts w:hAnsi="黑体" w:cs="黑体"/>
          <w:color w:val="auto"/>
          <w:szCs w:val="21"/>
        </w:rPr>
      </w:pPr>
      <w:bookmarkStart w:id="128" w:name="_Toc29932"/>
      <w:bookmarkStart w:id="129" w:name="_Toc2386"/>
      <w:bookmarkStart w:id="130" w:name="_Toc20192"/>
      <w:r>
        <w:rPr>
          <w:rFonts w:hint="eastAsia" w:hAnsi="黑体" w:cs="黑体"/>
          <w:color w:val="auto"/>
          <w:szCs w:val="21"/>
        </w:rPr>
        <w:t>基本规定</w:t>
      </w:r>
      <w:bookmarkEnd w:id="128"/>
      <w:bookmarkEnd w:id="129"/>
    </w:p>
    <w:p w14:paraId="78F565D0">
      <w:pPr>
        <w:pStyle w:val="40"/>
        <w:spacing w:beforeLines="-2147483648" w:afterLines="-2147483648" w:line="480" w:lineRule="auto"/>
        <w:ind w:left="0"/>
        <w:rPr>
          <w:rFonts w:hint="eastAsia" w:ascii="Times New Roman" w:hAnsi="Times New Roman" w:cs="Times New Roman"/>
          <w:color w:val="auto"/>
          <w:kern w:val="0"/>
          <w:szCs w:val="20"/>
        </w:rPr>
      </w:pPr>
      <w:r>
        <w:rPr>
          <w:rFonts w:hint="eastAsia" w:ascii="Times New Roman" w:hAnsi="Times New Roman" w:cs="Times New Roman"/>
          <w:color w:val="auto"/>
          <w:kern w:val="0"/>
          <w:szCs w:val="20"/>
        </w:rPr>
        <w:t>4.1 一般规定</w:t>
      </w:r>
    </w:p>
    <w:p w14:paraId="60E590E8">
      <w:pPr>
        <w:pStyle w:val="41"/>
        <w:ind w:left="0" w:leftChars="0" w:firstLine="0" w:firstLineChars="0"/>
        <w:rPr>
          <w:rFonts w:hint="eastAsia" w:hAnsi="宋体" w:eastAsia="宋体" w:cs="宋体"/>
          <w:color w:val="auto"/>
          <w:sz w:val="21"/>
          <w:szCs w:val="21"/>
          <w:lang w:val="en-US" w:eastAsia="zh-CN"/>
        </w:rPr>
      </w:pPr>
      <w:r>
        <w:rPr>
          <w:rFonts w:hint="eastAsia" w:hAnsi="宋体" w:eastAsia="宋体" w:cs="宋体"/>
          <w:color w:val="auto"/>
          <w:sz w:val="21"/>
          <w:szCs w:val="21"/>
        </w:rPr>
        <w:t xml:space="preserve">4.1.1 </w:t>
      </w:r>
      <w:r>
        <w:rPr>
          <w:rFonts w:hint="eastAsia" w:hAnsi="宋体" w:eastAsia="宋体" w:cs="宋体"/>
          <w:color w:val="auto"/>
          <w:sz w:val="21"/>
          <w:szCs w:val="21"/>
          <w:lang w:val="en-US" w:eastAsia="zh-CN"/>
        </w:rPr>
        <w:t>排水系统工程数智清污分流技术应根据国家、行业相关政策要求，开展相应规划、设计、建设及运行维护。</w:t>
      </w:r>
    </w:p>
    <w:p w14:paraId="41D276DA">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 xml:space="preserve">4.1.2 </w:t>
      </w:r>
      <w:r>
        <w:rPr>
          <w:rFonts w:hint="eastAsia" w:hAnsi="宋体" w:eastAsia="宋体" w:cs="宋体"/>
          <w:color w:val="auto"/>
          <w:sz w:val="21"/>
          <w:szCs w:val="21"/>
          <w:lang w:val="en-US" w:eastAsia="zh-CN"/>
        </w:rPr>
        <w:t>排水系统工程数智清污分流技术应强</w:t>
      </w:r>
      <w:r>
        <w:rPr>
          <w:rFonts w:hint="eastAsia" w:hAnsi="宋体" w:eastAsia="宋体" w:cs="宋体"/>
          <w:color w:val="auto"/>
          <w:lang w:val="en-US" w:eastAsia="zh-CN"/>
        </w:rPr>
        <w:t>化</w:t>
      </w:r>
      <w:r>
        <w:rPr>
          <w:rFonts w:hint="eastAsia" w:hAnsi="宋体" w:cs="宋体"/>
          <w:color w:val="auto"/>
          <w:lang w:val="en-US" w:eastAsia="zh-CN"/>
        </w:rPr>
        <w:t>数字</w:t>
      </w:r>
      <w:r>
        <w:rPr>
          <w:rFonts w:hint="eastAsia" w:hAnsi="宋体" w:eastAsia="宋体" w:cs="宋体"/>
          <w:color w:val="auto"/>
        </w:rPr>
        <w:t>化和智能化</w:t>
      </w:r>
      <w:r>
        <w:rPr>
          <w:rFonts w:hint="eastAsia" w:hAnsi="宋体" w:eastAsia="宋体" w:cs="宋体"/>
          <w:color w:val="auto"/>
          <w:lang w:val="en-US" w:eastAsia="zh-CN"/>
        </w:rPr>
        <w:t>建设，管网系统设备设施宜能实现自动化和智能化。</w:t>
      </w:r>
    </w:p>
    <w:p w14:paraId="718A5C5A">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 xml:space="preserve">4.1.3 </w:t>
      </w:r>
      <w:r>
        <w:rPr>
          <w:rFonts w:hint="eastAsia" w:hAnsi="宋体" w:eastAsia="宋体" w:cs="宋体"/>
          <w:color w:val="auto"/>
          <w:sz w:val="21"/>
          <w:szCs w:val="21"/>
          <w:lang w:val="en-US" w:eastAsia="zh-CN"/>
        </w:rPr>
        <w:t>排水系统工程数智清污分流技术应综合考虑海绵</w:t>
      </w:r>
      <w:r>
        <w:rPr>
          <w:rFonts w:hint="eastAsia" w:hAnsi="宋体" w:eastAsia="宋体" w:cs="宋体"/>
          <w:color w:val="auto"/>
          <w:lang w:val="en-US" w:eastAsia="zh-CN"/>
        </w:rPr>
        <w:t>城市建设、内涝防治、黑臭水体整治、污水提质增效、控源截污和智慧排水等方面的需求，按照统筹规划、分期实施、注重实效的总体原则进行建设。</w:t>
      </w:r>
    </w:p>
    <w:p w14:paraId="4D41CEA2">
      <w:pPr>
        <w:pStyle w:val="41"/>
        <w:ind w:left="0" w:leftChars="0" w:firstLine="0" w:firstLineChars="0"/>
        <w:rPr>
          <w:rFonts w:hint="eastAsia" w:hAnsi="宋体" w:eastAsia="宋体" w:cs="宋体"/>
          <w:color w:val="auto"/>
        </w:rPr>
      </w:pPr>
      <w:r>
        <w:rPr>
          <w:rFonts w:hint="eastAsia" w:hAnsi="宋体" w:eastAsia="宋体" w:cs="宋体"/>
          <w:color w:val="auto"/>
        </w:rPr>
        <w:t>4.1.</w:t>
      </w:r>
      <w:r>
        <w:rPr>
          <w:rFonts w:hint="eastAsia" w:hAnsi="宋体" w:eastAsia="宋体" w:cs="宋体"/>
          <w:color w:val="auto"/>
          <w:lang w:val="en-US" w:eastAsia="zh-CN"/>
        </w:rPr>
        <w:t>4</w:t>
      </w:r>
      <w:r>
        <w:rPr>
          <w:rFonts w:hint="eastAsia" w:hAnsi="宋体" w:eastAsia="宋体" w:cs="宋体"/>
          <w:color w:val="auto"/>
        </w:rPr>
        <w:t xml:space="preserve"> </w:t>
      </w:r>
      <w:r>
        <w:rPr>
          <w:rFonts w:hint="eastAsia" w:hAnsi="宋体" w:eastAsia="宋体" w:cs="宋体"/>
          <w:color w:val="auto"/>
          <w:lang w:val="en-US" w:eastAsia="zh-CN"/>
        </w:rPr>
        <w:t>在有条件的城镇，</w:t>
      </w:r>
      <w:r>
        <w:rPr>
          <w:rFonts w:hint="eastAsia" w:hAnsi="宋体" w:eastAsia="宋体" w:cs="宋体"/>
          <w:color w:val="auto"/>
          <w:sz w:val="21"/>
          <w:szCs w:val="21"/>
          <w:lang w:val="en-US" w:eastAsia="zh-CN"/>
        </w:rPr>
        <w:t>排水系统工程数智清污分流技术应对流</w:t>
      </w:r>
      <w:r>
        <w:rPr>
          <w:rFonts w:hint="eastAsia" w:hAnsi="宋体" w:eastAsia="宋体" w:cs="宋体"/>
          <w:color w:val="auto"/>
        </w:rPr>
        <w:t>域内</w:t>
      </w:r>
      <w:r>
        <w:rPr>
          <w:rFonts w:hint="eastAsia" w:hAnsi="宋体" w:eastAsia="宋体" w:cs="宋体"/>
          <w:color w:val="auto"/>
          <w:lang w:val="en-US" w:eastAsia="zh-CN"/>
        </w:rPr>
        <w:t>的</w:t>
      </w:r>
      <w:r>
        <w:rPr>
          <w:rFonts w:hint="eastAsia" w:hAnsi="宋体" w:eastAsia="宋体" w:cs="宋体"/>
          <w:color w:val="auto"/>
        </w:rPr>
        <w:t>面源污染进行削减控制。</w:t>
      </w:r>
    </w:p>
    <w:p w14:paraId="09A082FD">
      <w:pPr>
        <w:pStyle w:val="41"/>
        <w:ind w:left="0" w:leftChars="0" w:firstLine="0" w:firstLineChars="0"/>
        <w:rPr>
          <w:rFonts w:hint="eastAsia" w:hAnsi="宋体" w:eastAsia="宋体" w:cs="宋体"/>
          <w:color w:val="auto"/>
        </w:rPr>
      </w:pPr>
      <w:r>
        <w:rPr>
          <w:rFonts w:hint="eastAsia" w:hAnsi="宋体" w:eastAsia="宋体" w:cs="宋体"/>
          <w:color w:val="auto"/>
        </w:rPr>
        <w:t>4.1.</w:t>
      </w:r>
      <w:r>
        <w:rPr>
          <w:rFonts w:hint="eastAsia" w:hAnsi="宋体" w:eastAsia="宋体" w:cs="宋体"/>
          <w:color w:val="auto"/>
          <w:lang w:val="en-US" w:eastAsia="zh-CN"/>
        </w:rPr>
        <w:t xml:space="preserve">5 </w:t>
      </w:r>
      <w:r>
        <w:rPr>
          <w:rFonts w:hint="eastAsia" w:hAnsi="宋体" w:eastAsia="宋体" w:cs="宋体"/>
          <w:color w:val="auto"/>
        </w:rPr>
        <w:t>排水系统</w:t>
      </w:r>
      <w:r>
        <w:rPr>
          <w:rFonts w:hint="eastAsia" w:hAnsi="宋体" w:eastAsia="宋体" w:cs="宋体"/>
          <w:color w:val="auto"/>
          <w:lang w:val="en-US" w:eastAsia="zh-CN"/>
        </w:rPr>
        <w:t>工程</w:t>
      </w:r>
      <w:r>
        <w:rPr>
          <w:rFonts w:hint="eastAsia" w:hAnsi="宋体" w:eastAsia="宋体" w:cs="宋体"/>
          <w:color w:val="auto"/>
        </w:rPr>
        <w:t>数智清污分流</w:t>
      </w:r>
      <w:r>
        <w:rPr>
          <w:rFonts w:hint="eastAsia" w:hAnsi="宋体" w:eastAsia="宋体" w:cs="宋体"/>
          <w:color w:val="auto"/>
          <w:lang w:val="en-US" w:eastAsia="zh-CN"/>
        </w:rPr>
        <w:t>技术应按照</w:t>
      </w:r>
      <w:r>
        <w:rPr>
          <w:rFonts w:hint="eastAsia" w:hAnsi="宋体" w:eastAsia="宋体" w:cs="宋体"/>
          <w:color w:val="auto"/>
        </w:rPr>
        <w:t>城市数字公共基础设施建设</w:t>
      </w:r>
      <w:r>
        <w:rPr>
          <w:rFonts w:hint="eastAsia" w:hAnsi="宋体" w:eastAsia="宋体" w:cs="宋体"/>
          <w:color w:val="auto"/>
          <w:lang w:val="en-US" w:eastAsia="zh-CN"/>
        </w:rPr>
        <w:t>要求统一排水管网设施数据分类编码，构建统一的排水管网设施数据库</w:t>
      </w:r>
      <w:r>
        <w:rPr>
          <w:rFonts w:hint="eastAsia" w:hAnsi="宋体" w:eastAsia="宋体" w:cs="宋体"/>
          <w:color w:val="auto"/>
        </w:rPr>
        <w:t>。</w:t>
      </w:r>
    </w:p>
    <w:p w14:paraId="73A9488E">
      <w:pPr>
        <w:pStyle w:val="40"/>
        <w:spacing w:beforeLines="-2147483648" w:afterLines="-2147483648" w:line="480" w:lineRule="auto"/>
        <w:ind w:left="0"/>
        <w:rPr>
          <w:rFonts w:hint="eastAsia" w:ascii="Times New Roman" w:hAnsi="Times New Roman" w:cs="Times New Roman"/>
          <w:color w:val="auto"/>
          <w:kern w:val="0"/>
          <w:szCs w:val="20"/>
        </w:rPr>
      </w:pPr>
      <w:r>
        <w:rPr>
          <w:rFonts w:hint="eastAsia" w:ascii="Times New Roman" w:hAnsi="Times New Roman" w:cs="Times New Roman"/>
          <w:color w:val="auto"/>
          <w:kern w:val="0"/>
          <w:szCs w:val="20"/>
        </w:rPr>
        <w:t>4.2 系统目标</w:t>
      </w:r>
    </w:p>
    <w:p w14:paraId="34826E26">
      <w:pPr>
        <w:pStyle w:val="41"/>
        <w:ind w:left="0" w:leftChars="0" w:firstLine="0" w:firstLineChars="0"/>
        <w:rPr>
          <w:rFonts w:hint="eastAsia" w:hAnsi="宋体" w:eastAsia="宋体" w:cs="宋体"/>
          <w:color w:val="auto"/>
        </w:rPr>
      </w:pPr>
      <w:r>
        <w:rPr>
          <w:rFonts w:hint="eastAsia" w:hAnsi="宋体" w:eastAsia="宋体" w:cs="宋体"/>
          <w:color w:val="auto"/>
        </w:rPr>
        <w:t>4.2.1</w:t>
      </w:r>
      <w:r>
        <w:rPr>
          <w:rFonts w:hint="eastAsia" w:hAnsi="宋体" w:eastAsia="宋体" w:cs="宋体"/>
          <w:color w:val="auto"/>
          <w:lang w:val="en-US" w:eastAsia="zh-CN"/>
        </w:rPr>
        <w:t xml:space="preserve"> </w:t>
      </w:r>
      <w:r>
        <w:rPr>
          <w:rFonts w:hint="eastAsia" w:hAnsi="宋体" w:eastAsia="宋体" w:cs="宋体"/>
          <w:color w:val="auto"/>
        </w:rPr>
        <w:t>排水系统数智清污分流应能实现清水（地下水、河湖水、山泉水、中后期较干净的雨水）不进污水系统，提高进厂浓度，减少污水处理量；污水（生活污水、工业废水和初期雨水）不排至河湖，减小排口出流污染，提高水环境质量。</w:t>
      </w:r>
    </w:p>
    <w:p w14:paraId="2D262D87">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rPr>
        <w:t>4.2.</w:t>
      </w:r>
      <w:r>
        <w:rPr>
          <w:rFonts w:hint="eastAsia" w:hAnsi="宋体" w:eastAsia="宋体" w:cs="宋体"/>
          <w:color w:val="auto"/>
          <w:lang w:val="en-US" w:eastAsia="zh-CN"/>
        </w:rPr>
        <w:t>2</w:t>
      </w:r>
      <w:r>
        <w:rPr>
          <w:rFonts w:hint="eastAsia" w:hAnsi="宋体" w:eastAsia="宋体" w:cs="宋体"/>
          <w:color w:val="auto"/>
        </w:rPr>
        <w:t xml:space="preserve"> 排水系统数智清污分流</w:t>
      </w:r>
      <w:r>
        <w:rPr>
          <w:rFonts w:hint="eastAsia" w:hAnsi="宋体" w:eastAsia="宋体" w:cs="宋体"/>
          <w:color w:val="auto"/>
          <w:lang w:val="en-US" w:eastAsia="zh-CN"/>
        </w:rPr>
        <w:t>后应能满足以下规定：</w:t>
      </w:r>
    </w:p>
    <w:p w14:paraId="4B0BECD7">
      <w:pPr>
        <w:pStyle w:val="41"/>
        <w:numPr>
          <w:ilvl w:val="0"/>
          <w:numId w:val="37"/>
        </w:numPr>
        <w:tabs>
          <w:tab w:val="center" w:pos="4201"/>
          <w:tab w:val="right" w:leader="dot" w:pos="9298"/>
        </w:tabs>
        <w:ind w:left="726" w:leftChars="0" w:hanging="306" w:firstLineChars="0"/>
        <w:rPr>
          <w:rFonts w:hint="eastAsia" w:ascii="宋体" w:hAnsi="宋体" w:eastAsia="宋体" w:cs="宋体"/>
          <w:color w:val="auto"/>
          <w:szCs w:val="21"/>
        </w:rPr>
      </w:pPr>
      <w:r>
        <w:rPr>
          <w:rFonts w:hint="eastAsia" w:ascii="宋体" w:hAnsi="宋体" w:eastAsia="宋体" w:cs="宋体"/>
          <w:color w:val="auto"/>
          <w:szCs w:val="21"/>
        </w:rPr>
        <w:t>旱天流域服务范围内污水处理厂的进水浓度和污水收集率符合国家和地方相关的技术标准和规划要求。</w:t>
      </w:r>
    </w:p>
    <w:p w14:paraId="15092227">
      <w:pPr>
        <w:pStyle w:val="41"/>
        <w:numPr>
          <w:ilvl w:val="0"/>
          <w:numId w:val="37"/>
        </w:numPr>
        <w:tabs>
          <w:tab w:val="center" w:pos="4201"/>
          <w:tab w:val="right" w:leader="dot" w:pos="9298"/>
        </w:tabs>
        <w:ind w:left="726" w:leftChars="0" w:hanging="306" w:firstLineChars="0"/>
        <w:rPr>
          <w:rFonts w:hint="eastAsia" w:ascii="宋体" w:hAnsi="宋体" w:eastAsia="宋体" w:cs="宋体"/>
          <w:color w:val="auto"/>
          <w:szCs w:val="21"/>
        </w:rPr>
      </w:pPr>
      <w:r>
        <w:rPr>
          <w:rFonts w:hint="eastAsia" w:ascii="宋体" w:hAnsi="宋体" w:eastAsia="宋体" w:cs="宋体"/>
          <w:color w:val="auto"/>
          <w:szCs w:val="21"/>
        </w:rPr>
        <w:t>排水系统数智清污分流</w:t>
      </w:r>
      <w:r>
        <w:rPr>
          <w:rFonts w:hint="eastAsia" w:ascii="宋体" w:hAnsi="宋体" w:eastAsia="宋体" w:cs="宋体"/>
          <w:color w:val="auto"/>
          <w:szCs w:val="21"/>
          <w:lang w:val="en-US" w:eastAsia="zh-CN"/>
        </w:rPr>
        <w:t>后应能实现</w:t>
      </w:r>
      <w:r>
        <w:rPr>
          <w:rFonts w:hint="eastAsia" w:ascii="宋体" w:hAnsi="宋体" w:eastAsia="宋体" w:cs="宋体"/>
          <w:color w:val="auto"/>
          <w:szCs w:val="21"/>
        </w:rPr>
        <w:t>排</w:t>
      </w:r>
      <w:r>
        <w:rPr>
          <w:rFonts w:hint="eastAsia" w:ascii="宋体" w:hAnsi="宋体" w:eastAsia="宋体" w:cs="宋体"/>
          <w:color w:val="auto"/>
          <w:szCs w:val="21"/>
          <w:lang w:val="en-US" w:eastAsia="zh-CN"/>
        </w:rPr>
        <w:t>水</w:t>
      </w:r>
      <w:r>
        <w:rPr>
          <w:rFonts w:hint="eastAsia" w:ascii="宋体" w:hAnsi="宋体" w:eastAsia="宋体" w:cs="宋体"/>
          <w:color w:val="auto"/>
          <w:szCs w:val="21"/>
        </w:rPr>
        <w:t>口旱天无污水排河</w:t>
      </w:r>
      <w:r>
        <w:rPr>
          <w:rFonts w:hint="eastAsia" w:ascii="宋体" w:hAnsi="宋体" w:eastAsia="宋体" w:cs="宋体"/>
          <w:color w:val="auto"/>
          <w:szCs w:val="21"/>
          <w:lang w:eastAsia="zh-CN"/>
        </w:rPr>
        <w:t>；</w:t>
      </w:r>
    </w:p>
    <w:p w14:paraId="0609BA63">
      <w:pPr>
        <w:pStyle w:val="41"/>
        <w:numPr>
          <w:ilvl w:val="0"/>
          <w:numId w:val="37"/>
        </w:numPr>
        <w:tabs>
          <w:tab w:val="center" w:pos="4201"/>
          <w:tab w:val="right" w:leader="dot" w:pos="9298"/>
        </w:tabs>
        <w:ind w:left="726" w:leftChars="0" w:hanging="306" w:firstLineChars="0"/>
        <w:rPr>
          <w:rFonts w:hint="eastAsia" w:ascii="宋体" w:hAnsi="宋体" w:eastAsia="宋体" w:cs="宋体"/>
          <w:color w:val="auto"/>
          <w:szCs w:val="21"/>
        </w:rPr>
      </w:pPr>
      <w:r>
        <w:rPr>
          <w:rFonts w:hint="eastAsia" w:ascii="宋体" w:hAnsi="宋体" w:eastAsia="宋体" w:cs="宋体"/>
          <w:color w:val="auto"/>
          <w:szCs w:val="21"/>
        </w:rPr>
        <w:t>污水系统</w:t>
      </w:r>
      <w:r>
        <w:rPr>
          <w:rFonts w:hint="eastAsia" w:ascii="宋体" w:hAnsi="宋体" w:eastAsia="宋体" w:cs="宋体"/>
          <w:color w:val="auto"/>
          <w:szCs w:val="21"/>
          <w:lang w:val="en-US" w:eastAsia="zh-CN"/>
        </w:rPr>
        <w:t>在</w:t>
      </w:r>
      <w:r>
        <w:rPr>
          <w:rFonts w:hint="eastAsia" w:ascii="宋体" w:hAnsi="宋体" w:eastAsia="宋体" w:cs="宋体"/>
          <w:color w:val="auto"/>
          <w:szCs w:val="21"/>
        </w:rPr>
        <w:t>旱天和雨天不应发生冒溢</w:t>
      </w:r>
      <w:r>
        <w:rPr>
          <w:rFonts w:hint="eastAsia" w:ascii="宋体" w:hAnsi="宋体" w:eastAsia="宋体" w:cs="宋体"/>
          <w:color w:val="auto"/>
          <w:szCs w:val="21"/>
          <w:lang w:eastAsia="zh-CN"/>
        </w:rPr>
        <w:t>；</w:t>
      </w:r>
    </w:p>
    <w:p w14:paraId="137E902B">
      <w:pPr>
        <w:pStyle w:val="41"/>
        <w:ind w:left="0" w:leftChars="0" w:firstLine="0" w:firstLineChars="0"/>
        <w:rPr>
          <w:rFonts w:hint="eastAsia" w:ascii="宋体" w:hAnsi="宋体" w:eastAsia="宋体" w:cs="宋体"/>
          <w:color w:val="auto"/>
        </w:rPr>
      </w:pPr>
      <w:r>
        <w:rPr>
          <w:rFonts w:hint="eastAsia" w:ascii="宋体" w:hAnsi="宋体" w:eastAsia="宋体" w:cs="宋体"/>
          <w:color w:val="auto"/>
          <w:lang w:val="en-US" w:eastAsia="zh-CN"/>
        </w:rPr>
        <w:t xml:space="preserve">4.2.3 </w:t>
      </w:r>
      <w:r>
        <w:rPr>
          <w:rFonts w:hint="eastAsia" w:ascii="宋体" w:hAnsi="宋体" w:eastAsia="宋体" w:cs="宋体"/>
          <w:color w:val="auto"/>
        </w:rPr>
        <w:t>排</w:t>
      </w:r>
      <w:r>
        <w:rPr>
          <w:rFonts w:hint="eastAsia" w:ascii="宋体" w:hAnsi="宋体" w:eastAsia="宋体" w:cs="宋体"/>
          <w:color w:val="auto"/>
          <w:lang w:val="en-US" w:eastAsia="zh-CN"/>
        </w:rPr>
        <w:t>水</w:t>
      </w:r>
      <w:r>
        <w:rPr>
          <w:rFonts w:hint="eastAsia" w:ascii="宋体" w:hAnsi="宋体" w:eastAsia="宋体" w:cs="宋体"/>
          <w:color w:val="auto"/>
        </w:rPr>
        <w:t>口允许排放的污染物量应根据受纳水体的水质要求和水环境容量来确定。</w:t>
      </w:r>
    </w:p>
    <w:p w14:paraId="3D7B7429">
      <w:pPr>
        <w:pStyle w:val="41"/>
        <w:ind w:left="0" w:leftChars="0" w:firstLine="0" w:firstLineChars="0"/>
        <w:rPr>
          <w:rFonts w:hint="eastAsia" w:hAnsi="宋体" w:eastAsia="宋体" w:cs="宋体"/>
          <w:color w:val="auto"/>
        </w:rPr>
      </w:pPr>
      <w:r>
        <w:rPr>
          <w:rFonts w:hint="eastAsia" w:hAnsi="宋体" w:eastAsia="宋体" w:cs="宋体"/>
          <w:color w:val="auto"/>
        </w:rPr>
        <w:t>4.2.</w:t>
      </w:r>
      <w:r>
        <w:rPr>
          <w:rFonts w:hint="eastAsia" w:hAnsi="宋体" w:cs="宋体"/>
          <w:color w:val="auto"/>
          <w:lang w:val="en-US" w:eastAsia="zh-CN"/>
        </w:rPr>
        <w:t>4</w:t>
      </w:r>
      <w:r>
        <w:rPr>
          <w:rFonts w:hint="eastAsia" w:hAnsi="宋体" w:eastAsia="宋体" w:cs="宋体"/>
          <w:color w:val="auto"/>
          <w:lang w:val="en-US" w:eastAsia="zh-CN"/>
        </w:rPr>
        <w:t xml:space="preserve"> </w:t>
      </w:r>
      <w:r>
        <w:rPr>
          <w:rFonts w:hint="eastAsia" w:hAnsi="宋体" w:eastAsia="宋体" w:cs="宋体"/>
          <w:color w:val="auto"/>
        </w:rPr>
        <w:t>排水系统数智清污分流应能运用智能装备、物联网、大数据和云计算等先进技术，应用城市数字公共基础设施建设成果，接入城市地下管网三维模型、智能感知设备等数据，实现对源网厂河（湖）的实时监测、预警、管理和调度。</w:t>
      </w:r>
    </w:p>
    <w:p w14:paraId="1522DCB7">
      <w:pPr>
        <w:pStyle w:val="114"/>
        <w:spacing w:before="312" w:after="312"/>
        <w:ind w:left="0"/>
        <w:jc w:val="left"/>
        <w:rPr>
          <w:color w:val="auto"/>
        </w:rPr>
      </w:pPr>
      <w:bookmarkStart w:id="131" w:name="_Toc7264"/>
      <w:bookmarkStart w:id="132" w:name="_Toc4444"/>
      <w:r>
        <w:rPr>
          <w:rFonts w:hint="eastAsia" w:hAnsi="黑体" w:cs="黑体"/>
          <w:color w:val="auto"/>
          <w:szCs w:val="21"/>
          <w:lang w:val="en-US" w:eastAsia="zh-CN"/>
        </w:rPr>
        <w:t>排水管网清污分流工程</w:t>
      </w:r>
      <w:bookmarkEnd w:id="131"/>
    </w:p>
    <w:bookmarkEnd w:id="132"/>
    <w:p w14:paraId="59FE62FD">
      <w:pPr>
        <w:pStyle w:val="40"/>
        <w:spacing w:before="156" w:after="156"/>
        <w:rPr>
          <w:rFonts w:hint="eastAsia"/>
          <w:color w:val="auto"/>
        </w:rPr>
      </w:pPr>
      <w:r>
        <w:rPr>
          <w:rFonts w:hint="eastAsia"/>
          <w:color w:val="auto"/>
          <w:lang w:val="en-US" w:eastAsia="zh-CN"/>
        </w:rPr>
        <w:t>5</w:t>
      </w:r>
      <w:r>
        <w:rPr>
          <w:rFonts w:hint="eastAsia"/>
          <w:color w:val="auto"/>
        </w:rPr>
        <w:t>.1 一般规定</w:t>
      </w:r>
    </w:p>
    <w:p w14:paraId="5FE00A3A">
      <w:pPr>
        <w:pStyle w:val="41"/>
        <w:ind w:left="0" w:leftChars="0" w:firstLine="0" w:firstLineChars="0"/>
        <w:rPr>
          <w:rFonts w:hint="eastAsia" w:hAnsi="宋体" w:eastAsia="宋体" w:cs="宋体"/>
          <w:color w:val="auto"/>
        </w:rPr>
      </w:pPr>
      <w:r>
        <w:rPr>
          <w:rFonts w:hint="eastAsia" w:hAnsi="宋体" w:eastAsia="宋体" w:cs="宋体"/>
          <w:color w:val="auto"/>
          <w:lang w:val="en-US" w:eastAsia="zh-CN"/>
        </w:rPr>
        <w:t>5</w:t>
      </w:r>
      <w:r>
        <w:rPr>
          <w:rFonts w:hint="eastAsia" w:hAnsi="宋体" w:eastAsia="宋体" w:cs="宋体"/>
          <w:color w:val="auto"/>
        </w:rPr>
        <w:t xml:space="preserve">.1.1 </w:t>
      </w:r>
      <w:r>
        <w:rPr>
          <w:rFonts w:hint="eastAsia" w:hAnsi="宋体" w:eastAsia="宋体" w:cs="宋体"/>
          <w:color w:val="auto"/>
          <w:lang w:val="en-US" w:eastAsia="zh-CN"/>
        </w:rPr>
        <w:t>管网</w:t>
      </w:r>
      <w:r>
        <w:rPr>
          <w:rFonts w:hint="eastAsia" w:hAnsi="宋体" w:eastAsia="宋体" w:cs="宋体"/>
          <w:color w:val="auto"/>
        </w:rPr>
        <w:t>清污分流</w:t>
      </w:r>
      <w:r>
        <w:rPr>
          <w:rFonts w:hint="eastAsia" w:hAnsi="宋体" w:eastAsia="宋体" w:cs="宋体"/>
          <w:color w:val="auto"/>
          <w:lang w:val="en-US" w:eastAsia="zh-CN"/>
        </w:rPr>
        <w:t>工程</w:t>
      </w:r>
      <w:r>
        <w:rPr>
          <w:rFonts w:hint="eastAsia" w:hAnsi="宋体" w:eastAsia="宋体" w:cs="宋体"/>
          <w:color w:val="auto"/>
        </w:rPr>
        <w:t>应以流域</w:t>
      </w:r>
      <w:r>
        <w:rPr>
          <w:rFonts w:hint="eastAsia" w:hAnsi="宋体" w:eastAsia="宋体" w:cs="宋体"/>
          <w:color w:val="auto"/>
          <w:lang w:val="en-US" w:eastAsia="zh-CN"/>
        </w:rPr>
        <w:t>排水管网</w:t>
      </w:r>
      <w:r>
        <w:rPr>
          <w:rFonts w:hint="eastAsia" w:hAnsi="宋体" w:eastAsia="宋体" w:cs="宋体"/>
          <w:color w:val="auto"/>
        </w:rPr>
        <w:t>的调查数据为</w:t>
      </w:r>
      <w:r>
        <w:rPr>
          <w:rFonts w:hint="eastAsia" w:hAnsi="宋体" w:eastAsia="宋体" w:cs="宋体"/>
          <w:color w:val="auto"/>
          <w:lang w:val="en-US" w:eastAsia="zh-CN"/>
        </w:rPr>
        <w:t>依据合理制定清污分流改造方案，</w:t>
      </w:r>
      <w:r>
        <w:rPr>
          <w:rFonts w:hint="eastAsia" w:hAnsi="宋体" w:eastAsia="宋体" w:cs="宋体"/>
          <w:color w:val="auto"/>
        </w:rPr>
        <w:t>调查对象应包括流域内的污水处理厂、源头地块、排水管网和初雨特征等。</w:t>
      </w:r>
    </w:p>
    <w:p w14:paraId="6AC31A65">
      <w:pPr>
        <w:pStyle w:val="41"/>
        <w:ind w:left="0" w:leftChars="0" w:firstLine="0" w:firstLineChars="0"/>
        <w:rPr>
          <w:rFonts w:hint="eastAsia" w:hAnsi="宋体" w:eastAsia="宋体" w:cs="宋体"/>
          <w:color w:val="auto"/>
        </w:rPr>
      </w:pPr>
      <w:r>
        <w:rPr>
          <w:rFonts w:hint="eastAsia" w:hAnsi="宋体" w:eastAsia="宋体" w:cs="宋体"/>
          <w:color w:val="auto"/>
          <w:lang w:val="en-US" w:eastAsia="zh-CN"/>
        </w:rPr>
        <w:t>5</w:t>
      </w:r>
      <w:r>
        <w:rPr>
          <w:rFonts w:hint="eastAsia" w:hAnsi="宋体" w:eastAsia="宋体" w:cs="宋体"/>
          <w:color w:val="auto"/>
        </w:rPr>
        <w:t>.1.</w:t>
      </w:r>
      <w:r>
        <w:rPr>
          <w:rFonts w:hint="eastAsia" w:hAnsi="宋体" w:eastAsia="宋体" w:cs="宋体"/>
          <w:color w:val="auto"/>
          <w:lang w:val="en-US" w:eastAsia="zh-CN"/>
        </w:rPr>
        <w:t>2</w:t>
      </w:r>
      <w:r>
        <w:rPr>
          <w:rFonts w:hint="eastAsia" w:hAnsi="宋体" w:eastAsia="宋体" w:cs="宋体"/>
          <w:color w:val="auto"/>
        </w:rPr>
        <w:t xml:space="preserve"> </w:t>
      </w:r>
      <w:r>
        <w:rPr>
          <w:rFonts w:hint="eastAsia" w:hAnsi="宋体" w:eastAsia="宋体" w:cs="宋体"/>
          <w:color w:val="auto"/>
          <w:lang w:val="en-US" w:eastAsia="zh-CN"/>
        </w:rPr>
        <w:t>管网清污分流工程技术措施主要</w:t>
      </w:r>
      <w:r>
        <w:rPr>
          <w:rFonts w:hint="eastAsia" w:hAnsi="宋体" w:eastAsia="宋体" w:cs="宋体"/>
          <w:color w:val="auto"/>
        </w:rPr>
        <w:t>包括市政道路清污分流、源头分流制区域清污分流、工厂企业清污分流、源头合流制区域清污分流</w:t>
      </w:r>
      <w:r>
        <w:rPr>
          <w:rFonts w:hint="eastAsia" w:hAnsi="宋体" w:cs="宋体"/>
          <w:color w:val="auto"/>
          <w:lang w:eastAsia="zh-CN"/>
        </w:rPr>
        <w:t>、</w:t>
      </w:r>
      <w:r>
        <w:rPr>
          <w:rFonts w:hint="eastAsia" w:hAnsi="宋体" w:eastAsia="宋体" w:cs="宋体"/>
          <w:color w:val="auto"/>
        </w:rPr>
        <w:t>排口清污分流和截流调蓄处理。</w:t>
      </w:r>
    </w:p>
    <w:p w14:paraId="2E8E5F3F">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5</w:t>
      </w:r>
      <w:r>
        <w:rPr>
          <w:rFonts w:hint="eastAsia" w:hAnsi="宋体" w:eastAsia="宋体" w:cs="宋体"/>
          <w:color w:val="auto"/>
        </w:rPr>
        <w:t>.1.</w:t>
      </w:r>
      <w:r>
        <w:rPr>
          <w:rFonts w:hint="eastAsia" w:hAnsi="宋体" w:eastAsia="宋体" w:cs="宋体"/>
          <w:color w:val="auto"/>
          <w:lang w:val="en-US" w:eastAsia="zh-CN"/>
        </w:rPr>
        <w:t>3</w:t>
      </w:r>
      <w:r>
        <w:rPr>
          <w:rFonts w:hint="eastAsia" w:hAnsi="宋体" w:eastAsia="宋体" w:cs="宋体"/>
          <w:color w:val="auto"/>
        </w:rPr>
        <w:t xml:space="preserve"> </w:t>
      </w:r>
      <w:r>
        <w:rPr>
          <w:rFonts w:hint="eastAsia" w:hAnsi="宋体" w:eastAsia="宋体" w:cs="宋体"/>
          <w:color w:val="auto"/>
          <w:lang w:val="en-US" w:eastAsia="zh-CN"/>
        </w:rPr>
        <w:t>城区既有的分流制区域，排水系统工程数智清污分流技术应对市政主</w:t>
      </w:r>
      <w:r>
        <w:rPr>
          <w:rFonts w:hint="eastAsia" w:hAnsi="宋体" w:eastAsia="宋体" w:cs="宋体"/>
          <w:color w:val="auto"/>
        </w:rPr>
        <w:t>管网实施</w:t>
      </w:r>
      <w:r>
        <w:rPr>
          <w:rFonts w:hint="eastAsia" w:hAnsi="宋体" w:eastAsia="宋体" w:cs="宋体"/>
          <w:color w:val="auto"/>
          <w:lang w:val="en-US" w:eastAsia="zh-CN"/>
        </w:rPr>
        <w:t>混错接点改造</w:t>
      </w:r>
      <w:r>
        <w:rPr>
          <w:rFonts w:hint="eastAsia" w:hAnsi="宋体" w:eastAsia="宋体" w:cs="宋体"/>
          <w:color w:val="auto"/>
        </w:rPr>
        <w:t>，</w:t>
      </w:r>
      <w:r>
        <w:rPr>
          <w:rFonts w:hint="eastAsia" w:hAnsi="宋体" w:eastAsia="宋体" w:cs="宋体"/>
          <w:color w:val="auto"/>
          <w:lang w:val="en-US" w:eastAsia="zh-CN"/>
        </w:rPr>
        <w:t>对于</w:t>
      </w:r>
      <w:r>
        <w:rPr>
          <w:rFonts w:hint="eastAsia" w:hAnsi="宋体" w:eastAsia="宋体" w:cs="宋体"/>
          <w:color w:val="auto"/>
        </w:rPr>
        <w:t>源头</w:t>
      </w:r>
      <w:r>
        <w:rPr>
          <w:rFonts w:hint="eastAsia" w:hAnsi="宋体" w:eastAsia="宋体" w:cs="宋体"/>
          <w:color w:val="auto"/>
          <w:lang w:val="en-US" w:eastAsia="zh-CN"/>
        </w:rPr>
        <w:t>存在混错接的分流制区域，若具备改造条件的应进行混错接点改造，暂不具备改造条件的，宜在区域雨水管接至市政雨水干管前以及在雨水干管上每隔一定距离安装智能截流设施。</w:t>
      </w:r>
    </w:p>
    <w:p w14:paraId="00BF9985">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5</w:t>
      </w:r>
      <w:r>
        <w:rPr>
          <w:rFonts w:hint="eastAsia" w:hAnsi="宋体" w:eastAsia="宋体" w:cs="宋体"/>
          <w:color w:val="auto"/>
        </w:rPr>
        <w:t>.1.</w:t>
      </w:r>
      <w:r>
        <w:rPr>
          <w:rFonts w:hint="eastAsia" w:hAnsi="宋体" w:eastAsia="宋体" w:cs="宋体"/>
          <w:color w:val="auto"/>
          <w:lang w:val="en-US" w:eastAsia="zh-CN"/>
        </w:rPr>
        <w:t>4</w:t>
      </w:r>
      <w:r>
        <w:rPr>
          <w:rFonts w:hint="eastAsia" w:hAnsi="宋体" w:eastAsia="宋体" w:cs="宋体"/>
          <w:color w:val="auto"/>
        </w:rPr>
        <w:t xml:space="preserve"> </w:t>
      </w:r>
      <w:r>
        <w:rPr>
          <w:rFonts w:hint="eastAsia" w:hAnsi="宋体" w:eastAsia="宋体" w:cs="宋体"/>
          <w:color w:val="auto"/>
          <w:lang w:val="en-US" w:eastAsia="zh-CN"/>
        </w:rPr>
        <w:t>城区既有的合流制区域，排水系统工程数智清污分流技术应对市政主管网实</w:t>
      </w:r>
      <w:r>
        <w:rPr>
          <w:rFonts w:hint="eastAsia" w:hAnsi="宋体" w:eastAsia="宋体" w:cs="宋体"/>
          <w:color w:val="auto"/>
        </w:rPr>
        <w:t>施雨污分流，源头</w:t>
      </w:r>
      <w:r>
        <w:rPr>
          <w:rFonts w:hint="eastAsia" w:hAnsi="宋体" w:eastAsia="宋体" w:cs="宋体"/>
          <w:color w:val="auto"/>
          <w:lang w:val="en-US" w:eastAsia="zh-CN"/>
        </w:rPr>
        <w:t>合流制区域具备雨污分流改造条件的应进行雨污分流改造，暂不具备改造条件的，应采取截流、调蓄等措施控制溢流污染。</w:t>
      </w:r>
    </w:p>
    <w:p w14:paraId="30186102">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5</w:t>
      </w:r>
      <w:r>
        <w:rPr>
          <w:rFonts w:hint="eastAsia" w:hAnsi="宋体" w:eastAsia="宋体" w:cs="宋体"/>
          <w:color w:val="auto"/>
        </w:rPr>
        <w:t>.1.</w:t>
      </w:r>
      <w:r>
        <w:rPr>
          <w:rFonts w:hint="eastAsia" w:hAnsi="宋体" w:eastAsia="宋体" w:cs="宋体"/>
          <w:color w:val="auto"/>
          <w:lang w:val="en-US" w:eastAsia="zh-CN"/>
        </w:rPr>
        <w:t>5</w:t>
      </w:r>
      <w:r>
        <w:rPr>
          <w:rFonts w:hint="eastAsia" w:hAnsi="宋体" w:eastAsia="宋体" w:cs="宋体"/>
          <w:color w:val="auto"/>
        </w:rPr>
        <w:t xml:space="preserve"> </w:t>
      </w:r>
      <w:r>
        <w:rPr>
          <w:rFonts w:hint="eastAsia" w:hAnsi="宋体" w:eastAsia="宋体" w:cs="宋体"/>
          <w:color w:val="auto"/>
          <w:lang w:val="en-US" w:eastAsia="zh-CN"/>
        </w:rPr>
        <w:t>排水管网应控制外水入流入渗量。</w:t>
      </w:r>
    </w:p>
    <w:p w14:paraId="38312121">
      <w:pPr>
        <w:pStyle w:val="40"/>
        <w:spacing w:before="156" w:after="156"/>
        <w:rPr>
          <w:color w:val="auto"/>
        </w:rPr>
      </w:pPr>
      <w:r>
        <w:rPr>
          <w:rFonts w:hint="eastAsia"/>
          <w:color w:val="auto"/>
          <w:lang w:val="en-US" w:eastAsia="zh-CN"/>
        </w:rPr>
        <w:t>5</w:t>
      </w:r>
      <w:r>
        <w:rPr>
          <w:rFonts w:hint="eastAsia"/>
          <w:color w:val="auto"/>
        </w:rPr>
        <w:t>.</w:t>
      </w:r>
      <w:r>
        <w:rPr>
          <w:rFonts w:hint="eastAsia"/>
          <w:color w:val="auto"/>
          <w:lang w:val="en-US" w:eastAsia="zh-CN"/>
        </w:rPr>
        <w:t>2</w:t>
      </w:r>
      <w:r>
        <w:rPr>
          <w:rFonts w:hint="eastAsia"/>
          <w:color w:val="auto"/>
        </w:rPr>
        <w:t xml:space="preserve"> 市政</w:t>
      </w:r>
      <w:r>
        <w:rPr>
          <w:rFonts w:hint="eastAsia"/>
          <w:color w:val="auto"/>
          <w:lang w:val="en-US" w:eastAsia="zh-CN"/>
        </w:rPr>
        <w:t>道路</w:t>
      </w:r>
      <w:r>
        <w:rPr>
          <w:rFonts w:hint="eastAsia"/>
          <w:color w:val="auto"/>
        </w:rPr>
        <w:t>清污分流</w:t>
      </w:r>
    </w:p>
    <w:p w14:paraId="65C1FDD2">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5</w:t>
      </w:r>
      <w:r>
        <w:rPr>
          <w:rFonts w:hint="eastAsia" w:hAnsi="宋体" w:eastAsia="宋体" w:cs="宋体"/>
          <w:color w:val="auto"/>
        </w:rPr>
        <w:t>.</w:t>
      </w:r>
      <w:r>
        <w:rPr>
          <w:rFonts w:hint="eastAsia" w:hAnsi="宋体" w:eastAsia="宋体" w:cs="宋体"/>
          <w:color w:val="auto"/>
          <w:lang w:val="en-US" w:eastAsia="zh-CN"/>
        </w:rPr>
        <w:t>2</w:t>
      </w:r>
      <w:r>
        <w:rPr>
          <w:rFonts w:hint="eastAsia" w:hAnsi="宋体" w:eastAsia="宋体" w:cs="宋体"/>
          <w:color w:val="auto"/>
        </w:rPr>
        <w:t>.1 市政主</w:t>
      </w:r>
      <w:r>
        <w:rPr>
          <w:rFonts w:hint="eastAsia" w:hAnsi="宋体" w:eastAsia="宋体" w:cs="宋体"/>
          <w:color w:val="auto"/>
          <w:lang w:val="en-US" w:eastAsia="zh-CN"/>
        </w:rPr>
        <w:t>道路</w:t>
      </w:r>
      <w:r>
        <w:rPr>
          <w:rFonts w:hint="eastAsia" w:hAnsi="宋体" w:eastAsia="宋体" w:cs="宋体"/>
          <w:color w:val="auto"/>
        </w:rPr>
        <w:t>的清污分流</w:t>
      </w:r>
      <w:r>
        <w:rPr>
          <w:rFonts w:hint="eastAsia" w:hAnsi="宋体" w:eastAsia="宋体" w:cs="宋体"/>
          <w:color w:val="auto"/>
          <w:lang w:val="en-US" w:eastAsia="zh-CN"/>
        </w:rPr>
        <w:t>应根据道路实施改造条件合理确定改造范围，改造应与城市规划衔接，合理分期建设。</w:t>
      </w:r>
    </w:p>
    <w:p w14:paraId="3D1BE069">
      <w:pPr>
        <w:pStyle w:val="41"/>
        <w:ind w:left="0" w:leftChars="0" w:firstLine="0" w:firstLineChars="0"/>
        <w:rPr>
          <w:rFonts w:hint="eastAsia" w:hAnsi="宋体" w:eastAsia="宋体" w:cs="宋体"/>
          <w:color w:val="auto"/>
        </w:rPr>
      </w:pPr>
      <w:r>
        <w:rPr>
          <w:rFonts w:hint="eastAsia" w:hAnsi="宋体" w:eastAsia="宋体" w:cs="宋体"/>
          <w:color w:val="auto"/>
          <w:lang w:val="en-US" w:eastAsia="zh-CN"/>
        </w:rPr>
        <w:t xml:space="preserve">5.2.2 </w:t>
      </w:r>
      <w:r>
        <w:rPr>
          <w:rFonts w:hint="eastAsia" w:hAnsi="宋体" w:eastAsia="宋体" w:cs="宋体"/>
          <w:color w:val="auto"/>
        </w:rPr>
        <w:t>市政主</w:t>
      </w:r>
      <w:r>
        <w:rPr>
          <w:rFonts w:hint="eastAsia" w:hAnsi="宋体" w:eastAsia="宋体" w:cs="宋体"/>
          <w:color w:val="auto"/>
          <w:lang w:val="en-US" w:eastAsia="zh-CN"/>
        </w:rPr>
        <w:t>道路</w:t>
      </w:r>
      <w:r>
        <w:rPr>
          <w:rFonts w:hint="eastAsia" w:hAnsi="宋体" w:eastAsia="宋体" w:cs="宋体"/>
          <w:color w:val="auto"/>
        </w:rPr>
        <w:t>的清污分流</w:t>
      </w:r>
      <w:r>
        <w:rPr>
          <w:rFonts w:hint="eastAsia" w:hAnsi="宋体" w:eastAsia="宋体" w:cs="宋体"/>
          <w:color w:val="auto"/>
          <w:lang w:val="en-US" w:eastAsia="zh-CN"/>
        </w:rPr>
        <w:t>应能</w:t>
      </w:r>
      <w:r>
        <w:rPr>
          <w:rFonts w:hint="eastAsia" w:hAnsi="宋体" w:eastAsia="宋体" w:cs="宋体"/>
          <w:color w:val="auto"/>
        </w:rPr>
        <w:t>实现市政主管</w:t>
      </w:r>
      <w:r>
        <w:rPr>
          <w:rFonts w:hint="eastAsia" w:hAnsi="宋体" w:eastAsia="宋体" w:cs="宋体"/>
          <w:color w:val="auto"/>
          <w:lang w:val="en-US" w:eastAsia="zh-CN"/>
        </w:rPr>
        <w:t>网完全</w:t>
      </w:r>
      <w:r>
        <w:rPr>
          <w:rFonts w:hint="eastAsia" w:hAnsi="宋体" w:eastAsia="宋体" w:cs="宋体"/>
          <w:color w:val="auto"/>
        </w:rPr>
        <w:t>雨污分流</w:t>
      </w:r>
      <w:r>
        <w:rPr>
          <w:rFonts w:hint="eastAsia" w:hAnsi="宋体" w:eastAsia="宋体" w:cs="宋体"/>
          <w:color w:val="auto"/>
          <w:lang w:eastAsia="zh-CN"/>
        </w:rPr>
        <w:t>。</w:t>
      </w:r>
    </w:p>
    <w:p w14:paraId="7D65C8C7">
      <w:pPr>
        <w:pStyle w:val="41"/>
        <w:numPr>
          <w:ilvl w:val="0"/>
          <w:numId w:val="38"/>
        </w:numPr>
        <w:tabs>
          <w:tab w:val="center" w:pos="4201"/>
          <w:tab w:val="right" w:leader="dot" w:pos="9298"/>
        </w:tabs>
        <w:ind w:left="726" w:leftChars="0" w:hanging="306"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现状为合流制管网，应结合排水规划要求和工程技术条件确定雨污分流改造范围和改造方式，可采用新建污水管或新建雨水管方式：</w:t>
      </w:r>
    </w:p>
    <w:p w14:paraId="5F8AFA70">
      <w:pPr>
        <w:pStyle w:val="41"/>
        <w:numPr>
          <w:ilvl w:val="0"/>
          <w:numId w:val="39"/>
        </w:numPr>
        <w:tabs>
          <w:tab w:val="center" w:pos="4201"/>
          <w:tab w:val="right" w:leader="dot" w:pos="9298"/>
        </w:tabs>
        <w:ind w:left="1145" w:leftChars="0" w:hanging="419" w:firstLineChars="0"/>
        <w:rPr>
          <w:rFonts w:hint="eastAsia" w:hAnsi="宋体" w:cs="宋体"/>
          <w:color w:val="auto"/>
          <w:szCs w:val="21"/>
          <w:lang w:val="en-US" w:eastAsia="zh-CN"/>
        </w:rPr>
      </w:pPr>
      <w:r>
        <w:rPr>
          <w:rFonts w:hint="eastAsia" w:hAnsi="宋体" w:cs="宋体"/>
          <w:color w:val="auto"/>
          <w:szCs w:val="21"/>
        </w:rPr>
        <w:t>当现状合流管道尺寸满足雨水过流、排水管网高程、排水规划要求时，宜</w:t>
      </w:r>
      <w:r>
        <w:rPr>
          <w:rFonts w:hint="eastAsia" w:hAnsi="宋体" w:cs="宋体"/>
          <w:color w:val="auto"/>
          <w:szCs w:val="21"/>
          <w:lang w:val="en-US" w:eastAsia="zh-CN"/>
        </w:rPr>
        <w:t>保留</w:t>
      </w:r>
      <w:r>
        <w:rPr>
          <w:rFonts w:hint="eastAsia" w:hAnsi="宋体" w:cs="宋体"/>
          <w:color w:val="auto"/>
          <w:szCs w:val="21"/>
        </w:rPr>
        <w:t>原有合流管道作为雨水管，新建污水管道</w:t>
      </w:r>
      <w:r>
        <w:rPr>
          <w:rFonts w:hint="eastAsia" w:hAnsi="宋体" w:cs="宋体"/>
          <w:color w:val="auto"/>
          <w:szCs w:val="21"/>
          <w:lang w:val="en-US" w:eastAsia="zh-CN"/>
        </w:rPr>
        <w:t>，同时应将原合流管接入的污水管全部截断，并改接至新建的污水管。</w:t>
      </w:r>
    </w:p>
    <w:p w14:paraId="204EDEAC">
      <w:pPr>
        <w:pStyle w:val="41"/>
        <w:numPr>
          <w:ilvl w:val="0"/>
          <w:numId w:val="39"/>
        </w:numPr>
        <w:tabs>
          <w:tab w:val="center" w:pos="4201"/>
          <w:tab w:val="right" w:leader="dot" w:pos="9298"/>
        </w:tabs>
        <w:ind w:left="1145" w:leftChars="0" w:hanging="419" w:firstLineChars="0"/>
        <w:rPr>
          <w:rFonts w:hint="eastAsia" w:ascii="宋体" w:hAnsi="宋体" w:eastAsia="宋体" w:cs="宋体"/>
          <w:color w:val="auto"/>
          <w:szCs w:val="21"/>
          <w:lang w:val="en-US" w:eastAsia="zh-CN"/>
        </w:rPr>
      </w:pPr>
      <w:r>
        <w:rPr>
          <w:rFonts w:hint="eastAsia" w:ascii="宋体" w:hAnsi="宋体" w:eastAsia="宋体" w:cs="宋体"/>
          <w:color w:val="auto"/>
          <w:szCs w:val="21"/>
        </w:rPr>
        <w:t>当现状合流管道尺寸仅满足污水过流、排水管网高程、排水规划要求时</w:t>
      </w:r>
      <w:r>
        <w:rPr>
          <w:rFonts w:hint="eastAsia" w:ascii="宋体" w:hAnsi="宋体" w:eastAsia="宋体" w:cs="宋体"/>
          <w:color w:val="auto"/>
          <w:szCs w:val="21"/>
          <w:lang w:eastAsia="zh-CN"/>
        </w:rPr>
        <w:t>，</w:t>
      </w:r>
      <w:r>
        <w:rPr>
          <w:rFonts w:hint="eastAsia" w:ascii="宋体" w:hAnsi="宋体" w:eastAsia="宋体" w:cs="宋体"/>
          <w:color w:val="auto"/>
          <w:szCs w:val="21"/>
        </w:rPr>
        <w:t>宜</w:t>
      </w:r>
      <w:r>
        <w:rPr>
          <w:rFonts w:hint="eastAsia" w:ascii="宋体" w:hAnsi="宋体" w:eastAsia="宋体" w:cs="宋体"/>
          <w:color w:val="auto"/>
          <w:szCs w:val="21"/>
          <w:lang w:val="en-US" w:eastAsia="zh-CN"/>
        </w:rPr>
        <w:t>保留</w:t>
      </w:r>
      <w:r>
        <w:rPr>
          <w:rFonts w:hint="eastAsia" w:ascii="宋体" w:hAnsi="宋体" w:eastAsia="宋体" w:cs="宋体"/>
          <w:color w:val="auto"/>
          <w:szCs w:val="21"/>
        </w:rPr>
        <w:t>原有合流管道作为污水管，新建雨水管道</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同时应将原合流管接入的雨水管全部截断，并改接至新建的雨水管。</w:t>
      </w:r>
    </w:p>
    <w:p w14:paraId="512E24FC">
      <w:pPr>
        <w:pStyle w:val="41"/>
        <w:numPr>
          <w:ilvl w:val="0"/>
          <w:numId w:val="38"/>
        </w:numPr>
        <w:tabs>
          <w:tab w:val="center" w:pos="4201"/>
          <w:tab w:val="right" w:leader="dot" w:pos="9298"/>
        </w:tabs>
        <w:ind w:left="726" w:leftChars="0" w:hanging="306"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现状为分流制管网，应根据管网排查成果进行混错接改造：</w:t>
      </w:r>
    </w:p>
    <w:p w14:paraId="5A5226BF">
      <w:pPr>
        <w:pStyle w:val="41"/>
        <w:numPr>
          <w:ilvl w:val="0"/>
          <w:numId w:val="40"/>
        </w:numPr>
        <w:tabs>
          <w:tab w:val="center" w:pos="4201"/>
          <w:tab w:val="right" w:leader="dot" w:pos="9298"/>
        </w:tabs>
        <w:ind w:left="1145" w:leftChars="0" w:hanging="419" w:firstLineChars="0"/>
        <w:rPr>
          <w:rFonts w:hint="eastAsia" w:hAnsi="宋体" w:cs="宋体"/>
          <w:color w:val="auto"/>
          <w:szCs w:val="21"/>
        </w:rPr>
      </w:pPr>
      <w:r>
        <w:rPr>
          <w:rFonts w:hint="eastAsia" w:hAnsi="宋体" w:cs="宋体"/>
          <w:color w:val="auto"/>
          <w:szCs w:val="21"/>
        </w:rPr>
        <w:t>对于</w:t>
      </w:r>
      <w:r>
        <w:rPr>
          <w:rFonts w:hint="eastAsia" w:hAnsi="宋体" w:cs="宋体"/>
          <w:color w:val="auto"/>
          <w:szCs w:val="21"/>
          <w:lang w:val="en-US" w:eastAsia="zh-CN"/>
        </w:rPr>
        <w:t>现状</w:t>
      </w:r>
      <w:r>
        <w:rPr>
          <w:rFonts w:hint="eastAsia" w:hAnsi="宋体" w:cs="宋体"/>
          <w:color w:val="auto"/>
          <w:szCs w:val="21"/>
        </w:rPr>
        <w:t>污水管接入雨水管，应封堵所接入的污水管，并将污水管道改接入污水</w:t>
      </w:r>
      <w:r>
        <w:rPr>
          <w:rFonts w:hint="eastAsia" w:hAnsi="宋体" w:cs="宋体"/>
          <w:color w:val="auto"/>
          <w:szCs w:val="21"/>
          <w:lang w:val="en-US" w:eastAsia="zh-CN"/>
        </w:rPr>
        <w:t>管</w:t>
      </w:r>
      <w:r>
        <w:rPr>
          <w:rFonts w:hint="eastAsia" w:hAnsi="宋体" w:cs="宋体"/>
          <w:color w:val="auto"/>
          <w:szCs w:val="21"/>
        </w:rPr>
        <w:t>；</w:t>
      </w:r>
    </w:p>
    <w:p w14:paraId="490A1741">
      <w:pPr>
        <w:pStyle w:val="41"/>
        <w:numPr>
          <w:ilvl w:val="0"/>
          <w:numId w:val="40"/>
        </w:numPr>
        <w:tabs>
          <w:tab w:val="center" w:pos="4201"/>
          <w:tab w:val="right" w:leader="dot" w:pos="9298"/>
        </w:tabs>
        <w:ind w:left="1145" w:leftChars="0" w:hanging="419" w:firstLineChars="0"/>
        <w:rPr>
          <w:rFonts w:hint="eastAsia" w:hAnsi="宋体" w:cs="宋体"/>
          <w:color w:val="auto"/>
          <w:szCs w:val="21"/>
        </w:rPr>
      </w:pPr>
      <w:r>
        <w:rPr>
          <w:rFonts w:hint="eastAsia" w:hAnsi="宋体" w:cs="宋体"/>
          <w:color w:val="auto"/>
          <w:szCs w:val="21"/>
        </w:rPr>
        <w:t>对于雨水管道接入污水管，应封堵所接入的雨水管，并将雨水管改接入雨水</w:t>
      </w:r>
      <w:r>
        <w:rPr>
          <w:rFonts w:hint="eastAsia" w:hAnsi="宋体" w:cs="宋体"/>
          <w:color w:val="auto"/>
          <w:szCs w:val="21"/>
          <w:lang w:val="en-US" w:eastAsia="zh-CN"/>
        </w:rPr>
        <w:t>管</w:t>
      </w:r>
      <w:r>
        <w:rPr>
          <w:rFonts w:hint="eastAsia" w:hAnsi="宋体" w:cs="宋体"/>
          <w:color w:val="auto"/>
          <w:szCs w:val="21"/>
        </w:rPr>
        <w:t>。</w:t>
      </w:r>
    </w:p>
    <w:p w14:paraId="213CFDE2">
      <w:pPr>
        <w:pStyle w:val="41"/>
        <w:numPr>
          <w:ilvl w:val="0"/>
          <w:numId w:val="38"/>
        </w:numPr>
        <w:tabs>
          <w:tab w:val="center" w:pos="4201"/>
          <w:tab w:val="right" w:leader="dot" w:pos="9298"/>
        </w:tabs>
        <w:ind w:left="726" w:leftChars="0" w:hanging="306"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道路沿线根据具体情况应为片区预留污水接入支管，且污水支管末端检查井应伸出道路红线外，以方便片区污水接入。</w:t>
      </w:r>
    </w:p>
    <w:p w14:paraId="50A5DA3B">
      <w:pPr>
        <w:pStyle w:val="41"/>
        <w:numPr>
          <w:ilvl w:val="0"/>
          <w:numId w:val="38"/>
        </w:numPr>
        <w:tabs>
          <w:tab w:val="center" w:pos="4201"/>
          <w:tab w:val="right" w:leader="dot" w:pos="9298"/>
        </w:tabs>
        <w:ind w:left="726" w:leftChars="0" w:hanging="306"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雨污分流改造应与道路建设或改造同步进行，不宜重复开挖。</w:t>
      </w:r>
    </w:p>
    <w:p w14:paraId="7B09AA92">
      <w:pPr>
        <w:pStyle w:val="41"/>
        <w:ind w:left="0" w:leftChars="0" w:firstLine="0" w:firstLineChars="0"/>
        <w:rPr>
          <w:rFonts w:hint="default" w:hAnsi="宋体" w:eastAsia="宋体" w:cs="宋体"/>
          <w:color w:val="auto"/>
          <w:lang w:val="en-US" w:eastAsia="zh-CN"/>
        </w:rPr>
      </w:pPr>
      <w:r>
        <w:rPr>
          <w:rFonts w:hint="eastAsia" w:hAnsi="宋体" w:eastAsia="宋体" w:cs="宋体"/>
          <w:color w:val="auto"/>
          <w:lang w:val="en-US" w:eastAsia="zh-CN"/>
        </w:rPr>
        <w:t>5.2.3 市政主道路宜控制面源污染，优先采用海绵城市理念进行设计，宜在道路绿化带设置生物滞留池、植草沟、雨水花园等设施，不具备实施海绵设施条件的路段，宜在市政雨水管上设置智能截流设施对初期雨水进行截流。</w:t>
      </w:r>
    </w:p>
    <w:p w14:paraId="423C05C7">
      <w:pPr>
        <w:pStyle w:val="41"/>
        <w:ind w:left="0" w:leftChars="0" w:firstLine="0" w:firstLineChars="0"/>
        <w:rPr>
          <w:rFonts w:hint="eastAsia" w:hAnsi="宋体" w:eastAsia="宋体" w:cs="宋体"/>
          <w:color w:val="auto"/>
        </w:rPr>
      </w:pPr>
      <w:r>
        <w:rPr>
          <w:rFonts w:hint="eastAsia" w:hAnsi="宋体" w:eastAsia="宋体" w:cs="宋体"/>
          <w:color w:val="auto"/>
          <w:lang w:val="en-US" w:eastAsia="zh-CN"/>
        </w:rPr>
        <w:t>5.2.4 市政主道路的清污分流应根据入渗入流调查结果采取管理和修复措施来控制外水入侵量，降低市政主管网的运行水位。</w:t>
      </w:r>
    </w:p>
    <w:p w14:paraId="2EDF4368">
      <w:pPr>
        <w:pStyle w:val="41"/>
        <w:numPr>
          <w:ilvl w:val="0"/>
          <w:numId w:val="41"/>
        </w:numPr>
        <w:tabs>
          <w:tab w:val="center" w:pos="4201"/>
          <w:tab w:val="right" w:leader="dot" w:pos="9298"/>
        </w:tabs>
        <w:ind w:left="726" w:leftChars="0" w:hanging="306"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施工降水禁止排放至下游设置截流设施的雨水系统，应设置专用临时导排管道，将施工降水输送至自然水体或下游没有截流设施的分流制雨水系统。</w:t>
      </w:r>
    </w:p>
    <w:p w14:paraId="4AD5E0E0">
      <w:pPr>
        <w:pStyle w:val="41"/>
        <w:numPr>
          <w:ilvl w:val="0"/>
          <w:numId w:val="41"/>
        </w:numPr>
        <w:tabs>
          <w:tab w:val="center" w:pos="4201"/>
          <w:tab w:val="right" w:leader="dot" w:pos="9298"/>
        </w:tabs>
        <w:ind w:left="726" w:leftChars="0" w:hanging="306"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对于入流入渗异常的管段，经调查确定管道存在结构性缺陷时，应采用开挖或非开挖修复等措施进行处理;</w:t>
      </w:r>
    </w:p>
    <w:p w14:paraId="780EB0AE">
      <w:pPr>
        <w:pStyle w:val="41"/>
        <w:numPr>
          <w:ilvl w:val="0"/>
          <w:numId w:val="41"/>
        </w:numPr>
        <w:tabs>
          <w:tab w:val="center" w:pos="4201"/>
          <w:tab w:val="right" w:leader="dot" w:pos="9298"/>
        </w:tabs>
        <w:ind w:left="726" w:leftChars="0" w:hanging="306"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提高管道和管井衔接的密封性能，加强对砖砌检查井的缺陷诊断和修复。对于入渗严重的检查井，宜采用水泥砂浆或有机化学浆材等方式进行喷涂修复，对结构破损严重的检查井进行更换。</w:t>
      </w:r>
    </w:p>
    <w:p w14:paraId="1689BAFF">
      <w:pPr>
        <w:pStyle w:val="41"/>
        <w:numPr>
          <w:ilvl w:val="0"/>
          <w:numId w:val="41"/>
        </w:numPr>
        <w:tabs>
          <w:tab w:val="center" w:pos="4201"/>
          <w:tab w:val="right" w:leader="dot" w:pos="9298"/>
        </w:tabs>
        <w:ind w:left="726" w:leftChars="0" w:hanging="306"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管道修复应符合CJJ/T 210的有关规定。</w:t>
      </w:r>
    </w:p>
    <w:p w14:paraId="08CC9AD3">
      <w:pPr>
        <w:pStyle w:val="40"/>
        <w:spacing w:before="156" w:after="156"/>
        <w:rPr>
          <w:color w:val="auto"/>
        </w:rPr>
      </w:pPr>
      <w:r>
        <w:rPr>
          <w:rFonts w:hint="eastAsia"/>
          <w:color w:val="auto"/>
          <w:lang w:val="en-US" w:eastAsia="zh-CN"/>
        </w:rPr>
        <w:t>5</w:t>
      </w:r>
      <w:r>
        <w:rPr>
          <w:rFonts w:hint="eastAsia"/>
          <w:color w:val="auto"/>
        </w:rPr>
        <w:t>.</w:t>
      </w:r>
      <w:r>
        <w:rPr>
          <w:rFonts w:hint="eastAsia"/>
          <w:color w:val="auto"/>
          <w:lang w:val="en-US" w:eastAsia="zh-CN"/>
        </w:rPr>
        <w:t>3</w:t>
      </w:r>
      <w:r>
        <w:rPr>
          <w:rFonts w:hint="eastAsia"/>
          <w:color w:val="auto"/>
        </w:rPr>
        <w:t xml:space="preserve"> 源头分流制区域清污分流</w:t>
      </w:r>
    </w:p>
    <w:p w14:paraId="569AC883">
      <w:pPr>
        <w:pStyle w:val="41"/>
        <w:ind w:left="0" w:leftChars="0" w:firstLine="0" w:firstLineChars="0"/>
        <w:rPr>
          <w:rFonts w:hint="eastAsia" w:hAnsi="宋体" w:eastAsia="宋体" w:cs="宋体"/>
          <w:color w:val="auto"/>
        </w:rPr>
      </w:pPr>
      <w:r>
        <w:rPr>
          <w:rFonts w:hint="eastAsia" w:hAnsi="宋体" w:eastAsia="宋体" w:cs="宋体"/>
          <w:color w:val="auto"/>
          <w:lang w:val="en-US" w:eastAsia="zh-CN"/>
        </w:rPr>
        <w:t>5</w:t>
      </w:r>
      <w:r>
        <w:rPr>
          <w:rFonts w:hint="eastAsia" w:hAnsi="宋体" w:eastAsia="宋体" w:cs="宋体"/>
          <w:color w:val="auto"/>
        </w:rPr>
        <w:t>.</w:t>
      </w:r>
      <w:r>
        <w:rPr>
          <w:rFonts w:hint="eastAsia" w:hAnsi="宋体" w:eastAsia="宋体" w:cs="宋体"/>
          <w:color w:val="auto"/>
          <w:lang w:val="en-US" w:eastAsia="zh-CN"/>
        </w:rPr>
        <w:t>3</w:t>
      </w:r>
      <w:r>
        <w:rPr>
          <w:rFonts w:hint="eastAsia" w:hAnsi="宋体" w:eastAsia="宋体" w:cs="宋体"/>
          <w:color w:val="auto"/>
        </w:rPr>
        <w:t>.1 源头分流制区域清污分流</w:t>
      </w:r>
      <w:r>
        <w:rPr>
          <w:rFonts w:hint="eastAsia" w:hAnsi="宋体" w:eastAsia="宋体" w:cs="宋体"/>
          <w:color w:val="auto"/>
          <w:lang w:val="en-US" w:eastAsia="zh-CN"/>
        </w:rPr>
        <w:t>改造目标应包括</w:t>
      </w:r>
      <w:r>
        <w:rPr>
          <w:rFonts w:hint="eastAsia" w:hAnsi="宋体" w:eastAsia="宋体" w:cs="宋体"/>
          <w:color w:val="auto"/>
        </w:rPr>
        <w:t>源头分流制区域的面源污染</w:t>
      </w:r>
      <w:r>
        <w:rPr>
          <w:rFonts w:hint="eastAsia" w:hAnsi="宋体" w:cs="宋体"/>
          <w:color w:val="auto"/>
          <w:lang w:val="en-US" w:eastAsia="zh-CN"/>
        </w:rPr>
        <w:t>削减</w:t>
      </w:r>
      <w:r>
        <w:rPr>
          <w:rFonts w:hint="eastAsia" w:hAnsi="宋体" w:eastAsia="宋体" w:cs="宋体"/>
          <w:color w:val="auto"/>
        </w:rPr>
        <w:t>和混错接</w:t>
      </w:r>
      <w:r>
        <w:rPr>
          <w:rFonts w:hint="eastAsia" w:hAnsi="宋体" w:cs="宋体"/>
          <w:color w:val="auto"/>
          <w:lang w:val="en-US" w:eastAsia="zh-CN"/>
        </w:rPr>
        <w:t>改造</w:t>
      </w:r>
      <w:r>
        <w:rPr>
          <w:rFonts w:hint="eastAsia" w:hAnsi="宋体" w:eastAsia="宋体" w:cs="宋体"/>
          <w:color w:val="auto"/>
        </w:rPr>
        <w:t>等</w:t>
      </w:r>
      <w:r>
        <w:rPr>
          <w:rFonts w:hint="eastAsia" w:hAnsi="宋体" w:eastAsia="宋体" w:cs="宋体"/>
          <w:color w:val="auto"/>
          <w:lang w:val="en-US" w:eastAsia="zh-CN"/>
        </w:rPr>
        <w:t>方面</w:t>
      </w:r>
      <w:r>
        <w:rPr>
          <w:rFonts w:hint="eastAsia" w:hAnsi="宋体" w:eastAsia="宋体" w:cs="宋体"/>
          <w:color w:val="auto"/>
        </w:rPr>
        <w:t>。</w:t>
      </w:r>
    </w:p>
    <w:p w14:paraId="63AF13A9">
      <w:pPr>
        <w:pStyle w:val="41"/>
        <w:ind w:left="0" w:leftChars="0" w:firstLine="0" w:firstLineChars="0"/>
        <w:rPr>
          <w:rFonts w:hint="eastAsia" w:hAnsi="宋体" w:eastAsia="宋体" w:cs="宋体"/>
          <w:color w:val="auto"/>
        </w:rPr>
      </w:pPr>
      <w:r>
        <w:rPr>
          <w:rFonts w:hint="eastAsia" w:hAnsi="宋体" w:eastAsia="宋体" w:cs="宋体"/>
          <w:color w:val="auto"/>
          <w:lang w:val="en-US" w:eastAsia="zh-CN"/>
        </w:rPr>
        <w:t>5</w:t>
      </w:r>
      <w:r>
        <w:rPr>
          <w:rFonts w:hint="eastAsia" w:hAnsi="宋体" w:eastAsia="宋体" w:cs="宋体"/>
          <w:color w:val="auto"/>
        </w:rPr>
        <w:t>.</w:t>
      </w:r>
      <w:r>
        <w:rPr>
          <w:rFonts w:hint="eastAsia" w:hAnsi="宋体" w:eastAsia="宋体" w:cs="宋体"/>
          <w:color w:val="auto"/>
          <w:lang w:val="en-US" w:eastAsia="zh-CN"/>
        </w:rPr>
        <w:t>3</w:t>
      </w:r>
      <w:r>
        <w:rPr>
          <w:rFonts w:hint="eastAsia" w:hAnsi="宋体" w:eastAsia="宋体" w:cs="宋体"/>
          <w:color w:val="auto"/>
        </w:rPr>
        <w:t>.</w:t>
      </w:r>
      <w:r>
        <w:rPr>
          <w:rFonts w:hint="eastAsia" w:hAnsi="宋体" w:eastAsia="宋体" w:cs="宋体"/>
          <w:color w:val="auto"/>
          <w:lang w:val="en-US" w:eastAsia="zh-CN"/>
        </w:rPr>
        <w:t>2</w:t>
      </w:r>
      <w:r>
        <w:rPr>
          <w:rFonts w:hint="eastAsia" w:hAnsi="宋体" w:eastAsia="宋体" w:cs="宋体"/>
          <w:color w:val="auto"/>
        </w:rPr>
        <w:t xml:space="preserve"> 源头分流制区域</w:t>
      </w:r>
      <w:r>
        <w:rPr>
          <w:rFonts w:hint="eastAsia" w:hAnsi="宋体" w:eastAsia="宋体" w:cs="宋体"/>
          <w:color w:val="auto"/>
          <w:lang w:val="en-US" w:eastAsia="zh-CN"/>
        </w:rPr>
        <w:t>应根据以下条件进行改造</w:t>
      </w:r>
      <w:r>
        <w:rPr>
          <w:rFonts w:hint="eastAsia" w:hAnsi="宋体" w:eastAsia="宋体" w:cs="宋体"/>
          <w:color w:val="auto"/>
        </w:rPr>
        <w:t>：</w:t>
      </w:r>
    </w:p>
    <w:p w14:paraId="29235673">
      <w:pPr>
        <w:pStyle w:val="41"/>
        <w:numPr>
          <w:ilvl w:val="0"/>
          <w:numId w:val="42"/>
        </w:numPr>
        <w:tabs>
          <w:tab w:val="center" w:pos="4201"/>
          <w:tab w:val="right" w:leader="dot" w:pos="9298"/>
        </w:tabs>
        <w:ind w:left="726" w:leftChars="0" w:hanging="306"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小区雨水立管混有阳台废水，具备施工条件时应保留现状合流立管作为污水立管，新建雨水立管。楼层较高很难新建雨水立管的工况，宜在混接立管接入小区污水管或小区雨水管之前设置立管分离器，将立管内旱流污水截流至小区污水管，雨季雨水排入小区雨水管；</w:t>
      </w:r>
    </w:p>
    <w:p w14:paraId="46930AD5">
      <w:pPr>
        <w:pStyle w:val="41"/>
        <w:numPr>
          <w:ilvl w:val="0"/>
          <w:numId w:val="42"/>
        </w:numPr>
        <w:tabs>
          <w:tab w:val="center" w:pos="4201"/>
          <w:tab w:val="right" w:leader="dot" w:pos="9298"/>
        </w:tabs>
        <w:ind w:left="726" w:leftChars="0" w:hanging="306"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对于存在管网混错接的区域，具备改造条件时，应实施混错接点改造；</w:t>
      </w:r>
    </w:p>
    <w:p w14:paraId="0C76BB95">
      <w:pPr>
        <w:pStyle w:val="41"/>
        <w:numPr>
          <w:ilvl w:val="0"/>
          <w:numId w:val="42"/>
        </w:numPr>
        <w:tabs>
          <w:tab w:val="center" w:pos="4201"/>
          <w:tab w:val="right" w:leader="dot" w:pos="9298"/>
        </w:tabs>
        <w:ind w:left="726" w:leftChars="0" w:hanging="306"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对于存在混错接污水接入的雨水管，混错接改造不具备条件时，宜在区域雨水管出口处设置智能分流井，旱天把区域雨水管内混错接污水截流至污水管，送至污水处理厂进行处理；</w:t>
      </w:r>
    </w:p>
    <w:p w14:paraId="05EECE12">
      <w:pPr>
        <w:pStyle w:val="41"/>
        <w:numPr>
          <w:ilvl w:val="0"/>
          <w:numId w:val="42"/>
        </w:numPr>
        <w:tabs>
          <w:tab w:val="center" w:pos="4201"/>
          <w:tab w:val="right" w:leader="dot" w:pos="9298"/>
        </w:tabs>
        <w:ind w:left="726" w:leftChars="0" w:hanging="306"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对于面源污染比较严重的区域，初雨特征明显时，宜在区域雨水管出口处设置智能分流井，降雨时把区域的初期雨水截流至污水管；</w:t>
      </w:r>
    </w:p>
    <w:p w14:paraId="1BBA3702">
      <w:pPr>
        <w:pStyle w:val="41"/>
        <w:numPr>
          <w:ilvl w:val="0"/>
          <w:numId w:val="42"/>
        </w:numPr>
        <w:tabs>
          <w:tab w:val="center" w:pos="4201"/>
          <w:tab w:val="right" w:leader="dot" w:pos="9298"/>
        </w:tabs>
        <w:ind w:left="726" w:leftChars="0" w:hanging="306"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对于沿街存在菜市场、洗车店、餐饮店、菜市场等重点排水户，混错接或面源污染严重时，宜在附近道路市政雨水管下游设置智能分流井，解决沿街一排排水户混错接和面源污染问题；</w:t>
      </w:r>
    </w:p>
    <w:p w14:paraId="16526444">
      <w:pPr>
        <w:pStyle w:val="41"/>
        <w:numPr>
          <w:ilvl w:val="0"/>
          <w:numId w:val="42"/>
        </w:numPr>
        <w:tabs>
          <w:tab w:val="center" w:pos="4201"/>
          <w:tab w:val="right" w:leader="dot" w:pos="9298"/>
        </w:tabs>
        <w:ind w:left="726" w:leftChars="0" w:hanging="306"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源头排水单元缺少预处理设施的，应增加预处理设施。</w:t>
      </w:r>
    </w:p>
    <w:p w14:paraId="7D8DA482">
      <w:pPr>
        <w:pStyle w:val="40"/>
        <w:spacing w:before="156" w:after="156"/>
        <w:rPr>
          <w:rFonts w:hint="eastAsia"/>
          <w:color w:val="auto"/>
        </w:rPr>
      </w:pPr>
      <w:r>
        <w:rPr>
          <w:rFonts w:hint="eastAsia"/>
          <w:color w:val="auto"/>
          <w:lang w:val="en-US" w:eastAsia="zh-CN"/>
        </w:rPr>
        <w:t>5</w:t>
      </w:r>
      <w:r>
        <w:rPr>
          <w:rFonts w:hint="eastAsia"/>
          <w:color w:val="auto"/>
        </w:rPr>
        <w:t>.</w:t>
      </w:r>
      <w:r>
        <w:rPr>
          <w:rFonts w:hint="eastAsia"/>
          <w:color w:val="auto"/>
          <w:lang w:val="en-US" w:eastAsia="zh-CN"/>
        </w:rPr>
        <w:t>4</w:t>
      </w:r>
      <w:r>
        <w:rPr>
          <w:rFonts w:hint="eastAsia"/>
          <w:color w:val="auto"/>
        </w:rPr>
        <w:t xml:space="preserve"> 源头合流制区域清污分流</w:t>
      </w:r>
    </w:p>
    <w:p w14:paraId="5FA14C1D">
      <w:pPr>
        <w:pStyle w:val="41"/>
        <w:numPr>
          <w:ilvl w:val="0"/>
          <w:numId w:val="0"/>
        </w:numPr>
        <w:tabs>
          <w:tab w:val="center" w:pos="4201"/>
          <w:tab w:val="right" w:leader="dot" w:pos="9298"/>
        </w:tabs>
        <w:rPr>
          <w:rFonts w:hint="eastAsia" w:hAnsi="宋体" w:cs="宋体"/>
          <w:color w:val="auto"/>
          <w:szCs w:val="21"/>
          <w:lang w:val="en-US" w:eastAsia="zh-CN"/>
        </w:rPr>
      </w:pPr>
      <w:r>
        <w:rPr>
          <w:rFonts w:hint="eastAsia" w:hAnsi="宋体" w:eastAsia="宋体" w:cs="宋体"/>
          <w:color w:val="auto"/>
          <w:lang w:val="en-US" w:eastAsia="zh-CN"/>
        </w:rPr>
        <w:t>5</w:t>
      </w:r>
      <w:r>
        <w:rPr>
          <w:rFonts w:hint="eastAsia" w:hAnsi="宋体" w:eastAsia="宋体" w:cs="宋体"/>
          <w:color w:val="auto"/>
        </w:rPr>
        <w:t>.</w:t>
      </w:r>
      <w:r>
        <w:rPr>
          <w:rFonts w:hint="eastAsia" w:hAnsi="宋体" w:eastAsia="宋体" w:cs="宋体"/>
          <w:color w:val="auto"/>
          <w:lang w:val="en-US" w:eastAsia="zh-CN"/>
        </w:rPr>
        <w:t>4</w:t>
      </w:r>
      <w:r>
        <w:rPr>
          <w:rFonts w:hint="eastAsia" w:hAnsi="宋体" w:eastAsia="宋体" w:cs="宋体"/>
          <w:color w:val="auto"/>
        </w:rPr>
        <w:t xml:space="preserve">.1 </w:t>
      </w:r>
      <w:r>
        <w:rPr>
          <w:rFonts w:hint="eastAsia"/>
          <w:color w:val="auto"/>
        </w:rPr>
        <w:t>源头合流制区域</w:t>
      </w:r>
      <w:r>
        <w:rPr>
          <w:rFonts w:hint="eastAsia"/>
          <w:color w:val="auto"/>
          <w:lang w:val="en-US" w:eastAsia="zh-CN"/>
        </w:rPr>
        <w:t>清污分流</w:t>
      </w:r>
      <w:r>
        <w:rPr>
          <w:rFonts w:hint="eastAsia" w:hAnsi="宋体" w:cs="宋体"/>
          <w:color w:val="auto"/>
          <w:szCs w:val="21"/>
          <w:lang w:val="en-US" w:eastAsia="zh-CN"/>
        </w:rPr>
        <w:t>应通过雨污分流、截流调蓄等技术措施实现源头合流制区域溢流污染的控制。</w:t>
      </w:r>
    </w:p>
    <w:p w14:paraId="1977124F">
      <w:pPr>
        <w:pStyle w:val="41"/>
        <w:numPr>
          <w:ilvl w:val="0"/>
          <w:numId w:val="0"/>
        </w:numPr>
        <w:tabs>
          <w:tab w:val="center" w:pos="4201"/>
          <w:tab w:val="right" w:leader="dot" w:pos="9298"/>
        </w:tabs>
        <w:rPr>
          <w:rFonts w:hint="eastAsia" w:hAnsi="宋体" w:cs="宋体"/>
          <w:color w:val="auto"/>
          <w:szCs w:val="21"/>
          <w:lang w:eastAsia="zh-CN"/>
        </w:rPr>
      </w:pPr>
      <w:r>
        <w:rPr>
          <w:rFonts w:hint="eastAsia" w:hAnsi="宋体" w:eastAsia="宋体" w:cs="宋体"/>
          <w:color w:val="auto"/>
          <w:lang w:val="en-US" w:eastAsia="zh-CN"/>
        </w:rPr>
        <w:t>5</w:t>
      </w:r>
      <w:r>
        <w:rPr>
          <w:rFonts w:hint="eastAsia" w:hAnsi="宋体" w:eastAsia="宋体" w:cs="宋体"/>
          <w:color w:val="auto"/>
        </w:rPr>
        <w:t>.</w:t>
      </w:r>
      <w:r>
        <w:rPr>
          <w:rFonts w:hint="eastAsia" w:hAnsi="宋体" w:eastAsia="宋体" w:cs="宋体"/>
          <w:color w:val="auto"/>
          <w:lang w:val="en-US" w:eastAsia="zh-CN"/>
        </w:rPr>
        <w:t>4</w:t>
      </w:r>
      <w:r>
        <w:rPr>
          <w:rFonts w:hint="eastAsia" w:hAnsi="宋体" w:eastAsia="宋体" w:cs="宋体"/>
          <w:color w:val="auto"/>
        </w:rPr>
        <w:t>.</w:t>
      </w:r>
      <w:r>
        <w:rPr>
          <w:rFonts w:hint="eastAsia" w:hAnsi="宋体" w:cs="宋体"/>
          <w:color w:val="auto"/>
          <w:lang w:val="en-US" w:eastAsia="zh-CN"/>
        </w:rPr>
        <w:t>2</w:t>
      </w:r>
      <w:r>
        <w:rPr>
          <w:rFonts w:hint="eastAsia" w:hAnsi="宋体" w:eastAsia="宋体" w:cs="宋体"/>
          <w:color w:val="auto"/>
        </w:rPr>
        <w:t xml:space="preserve"> </w:t>
      </w:r>
      <w:r>
        <w:rPr>
          <w:rFonts w:hint="eastAsia" w:hAnsi="宋体" w:eastAsia="宋体" w:cs="宋体"/>
          <w:color w:val="auto"/>
          <w:lang w:val="en-US" w:eastAsia="zh-CN"/>
        </w:rPr>
        <w:t>既有的合流制区域，具备重力流雨污分流条件的应进行雨污分流改造，改造要求应符合5.2.2a)条的规定。</w:t>
      </w:r>
      <w:r>
        <w:rPr>
          <w:rFonts w:hint="eastAsia" w:hAnsi="宋体" w:cs="宋体"/>
          <w:color w:val="auto"/>
          <w:szCs w:val="21"/>
        </w:rPr>
        <w:t>对于</w:t>
      </w:r>
      <w:r>
        <w:rPr>
          <w:rFonts w:hint="eastAsia" w:hAnsi="宋体" w:cs="宋体"/>
          <w:color w:val="auto"/>
          <w:szCs w:val="21"/>
          <w:lang w:val="en-US" w:eastAsia="zh-CN"/>
        </w:rPr>
        <w:t>实施重力流雨污分流困难的以下场景宜采用</w:t>
      </w:r>
      <w:r>
        <w:rPr>
          <w:rFonts w:hint="eastAsia" w:hAnsi="宋体" w:cs="宋体"/>
          <w:color w:val="auto"/>
          <w:szCs w:val="21"/>
        </w:rPr>
        <w:t>真空排水系统</w:t>
      </w:r>
      <w:r>
        <w:rPr>
          <w:rFonts w:hint="eastAsia" w:hAnsi="宋体" w:cs="宋体"/>
          <w:color w:val="auto"/>
          <w:szCs w:val="21"/>
          <w:lang w:eastAsia="zh-CN"/>
        </w:rPr>
        <w:t>。</w:t>
      </w:r>
    </w:p>
    <w:p w14:paraId="47AF6379">
      <w:pPr>
        <w:pStyle w:val="41"/>
        <w:numPr>
          <w:ilvl w:val="0"/>
          <w:numId w:val="43"/>
        </w:numPr>
        <w:tabs>
          <w:tab w:val="center" w:pos="4201"/>
          <w:tab w:val="right" w:leader="dot" w:pos="9298"/>
        </w:tabs>
        <w:ind w:left="726" w:leftChars="0" w:hanging="306"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污水无法重力排至周边市政污水系统的区域；</w:t>
      </w:r>
    </w:p>
    <w:p w14:paraId="5EB542F1">
      <w:pPr>
        <w:pStyle w:val="41"/>
        <w:numPr>
          <w:ilvl w:val="0"/>
          <w:numId w:val="43"/>
        </w:numPr>
        <w:tabs>
          <w:tab w:val="center" w:pos="4201"/>
          <w:tab w:val="right" w:leader="dot" w:pos="9298"/>
        </w:tabs>
        <w:ind w:left="726" w:leftChars="0" w:hanging="306" w:firstLineChars="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分布不规则的城中村、老旧小区，现有的排水管道分布复杂、穿墙、施工空间有限；</w:t>
      </w:r>
    </w:p>
    <w:p w14:paraId="0BEE1E88">
      <w:pPr>
        <w:pStyle w:val="41"/>
        <w:numPr>
          <w:ilvl w:val="0"/>
          <w:numId w:val="43"/>
        </w:numPr>
        <w:tabs>
          <w:tab w:val="center" w:pos="4201"/>
          <w:tab w:val="right" w:leader="dot" w:pos="9298"/>
        </w:tabs>
        <w:ind w:left="726" w:leftChars="0" w:hanging="306" w:firstLineChars="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地下水位比较高的、地势复杂的源头区域；</w:t>
      </w:r>
    </w:p>
    <w:p w14:paraId="6EC88730">
      <w:pPr>
        <w:pStyle w:val="41"/>
        <w:numPr>
          <w:ilvl w:val="0"/>
          <w:numId w:val="43"/>
        </w:numPr>
        <w:tabs>
          <w:tab w:val="center" w:pos="4201"/>
          <w:tab w:val="right" w:leader="dot" w:pos="9298"/>
        </w:tabs>
        <w:ind w:left="726" w:leftChars="0" w:hanging="306"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旅游景区、度假村和集中营地，这些地方通常需要处理大量游客产生的废水，并且通常地理位置较为分散，使用真空排水系统可以更为有效地收集和处理废水。</w:t>
      </w:r>
    </w:p>
    <w:p w14:paraId="7B9751A3">
      <w:pPr>
        <w:pStyle w:val="41"/>
        <w:numPr>
          <w:ilvl w:val="0"/>
          <w:numId w:val="0"/>
        </w:numPr>
        <w:tabs>
          <w:tab w:val="center" w:pos="4201"/>
          <w:tab w:val="right" w:leader="dot" w:pos="9298"/>
        </w:tabs>
        <w:rPr>
          <w:rFonts w:hint="eastAsia" w:hAnsi="宋体" w:cs="宋体"/>
          <w:color w:val="auto"/>
          <w:szCs w:val="21"/>
          <w:highlight w:val="yellow"/>
          <w:lang w:eastAsia="zh-CN"/>
        </w:rPr>
      </w:pPr>
      <w:r>
        <w:rPr>
          <w:rFonts w:hint="eastAsia" w:hAnsi="宋体" w:eastAsia="宋体" w:cs="宋体"/>
          <w:color w:val="auto"/>
          <w:lang w:val="en-US" w:eastAsia="zh-CN"/>
        </w:rPr>
        <w:t>5</w:t>
      </w:r>
      <w:r>
        <w:rPr>
          <w:rFonts w:hint="eastAsia" w:hAnsi="宋体" w:eastAsia="宋体" w:cs="宋体"/>
          <w:color w:val="auto"/>
        </w:rPr>
        <w:t>.</w:t>
      </w:r>
      <w:r>
        <w:rPr>
          <w:rFonts w:hint="eastAsia" w:hAnsi="宋体" w:eastAsia="宋体" w:cs="宋体"/>
          <w:color w:val="auto"/>
          <w:lang w:val="en-US" w:eastAsia="zh-CN"/>
        </w:rPr>
        <w:t>4</w:t>
      </w:r>
      <w:r>
        <w:rPr>
          <w:rFonts w:hint="eastAsia" w:hAnsi="宋体" w:eastAsia="宋体" w:cs="宋体"/>
          <w:color w:val="auto"/>
        </w:rPr>
        <w:t>.</w:t>
      </w:r>
      <w:r>
        <w:rPr>
          <w:rFonts w:hint="eastAsia" w:hAnsi="宋体" w:cs="宋体"/>
          <w:color w:val="auto"/>
          <w:lang w:val="en-US" w:eastAsia="zh-CN"/>
        </w:rPr>
        <w:t>3</w:t>
      </w:r>
      <w:r>
        <w:rPr>
          <w:rFonts w:hint="eastAsia" w:hAnsi="宋体" w:eastAsia="宋体" w:cs="宋体"/>
          <w:color w:val="auto"/>
        </w:rPr>
        <w:t xml:space="preserve"> 源头合流制区域</w:t>
      </w:r>
      <w:r>
        <w:rPr>
          <w:rFonts w:hint="eastAsia" w:hAnsi="宋体" w:eastAsia="宋体" w:cs="宋体"/>
          <w:color w:val="auto"/>
          <w:lang w:val="en-US" w:eastAsia="zh-CN"/>
        </w:rPr>
        <w:t>近期不具备雨污分流改造条件的，</w:t>
      </w:r>
      <w:r>
        <w:rPr>
          <w:rFonts w:hint="eastAsia" w:hAnsi="宋体" w:cs="宋体"/>
          <w:color w:val="auto"/>
          <w:szCs w:val="21"/>
        </w:rPr>
        <w:t>应采用</w:t>
      </w:r>
      <w:r>
        <w:rPr>
          <w:rFonts w:hint="eastAsia" w:hAnsi="宋体" w:cs="宋体"/>
          <w:color w:val="auto"/>
          <w:szCs w:val="21"/>
          <w:lang w:val="en-US" w:eastAsia="zh-CN"/>
        </w:rPr>
        <w:t>截流</w:t>
      </w:r>
      <w:r>
        <w:rPr>
          <w:rFonts w:hint="eastAsia" w:hAnsi="宋体" w:cs="宋体"/>
          <w:color w:val="auto"/>
          <w:szCs w:val="21"/>
          <w:lang w:eastAsia="zh-CN"/>
        </w:rPr>
        <w:t>、</w:t>
      </w:r>
      <w:r>
        <w:rPr>
          <w:rFonts w:hint="eastAsia" w:hAnsi="宋体" w:cs="宋体"/>
          <w:color w:val="auto"/>
          <w:szCs w:val="21"/>
        </w:rPr>
        <w:t>调蓄</w:t>
      </w:r>
      <w:r>
        <w:rPr>
          <w:rFonts w:hint="eastAsia" w:hAnsi="宋体" w:cs="宋体"/>
          <w:color w:val="auto"/>
          <w:szCs w:val="21"/>
          <w:lang w:val="en-US" w:eastAsia="zh-CN"/>
        </w:rPr>
        <w:t>和处理等措施控制</w:t>
      </w:r>
      <w:r>
        <w:rPr>
          <w:rFonts w:hint="eastAsia" w:hAnsi="宋体" w:cs="宋体"/>
          <w:color w:val="auto"/>
          <w:szCs w:val="21"/>
        </w:rPr>
        <w:t>溢流污染，智能分流井截流管的设计流</w:t>
      </w:r>
      <w:r>
        <w:rPr>
          <w:rFonts w:hint="eastAsia" w:ascii="宋体" w:hAnsi="宋体" w:eastAsia="宋体" w:cs="宋体"/>
          <w:color w:val="auto"/>
        </w:rPr>
        <w:t>量应符合GB 50014-2021中4.1的规定</w:t>
      </w:r>
      <w:r>
        <w:rPr>
          <w:rFonts w:hint="eastAsia" w:ascii="宋体" w:hAnsi="宋体" w:eastAsia="宋体" w:cs="宋体"/>
          <w:color w:val="auto"/>
          <w:lang w:eastAsia="zh-CN"/>
        </w:rPr>
        <w:t>。</w:t>
      </w:r>
    </w:p>
    <w:p w14:paraId="3FD0FA33">
      <w:pPr>
        <w:pStyle w:val="40"/>
        <w:spacing w:before="156" w:after="156"/>
        <w:rPr>
          <w:color w:val="auto"/>
        </w:rPr>
      </w:pPr>
      <w:r>
        <w:rPr>
          <w:rFonts w:hint="eastAsia"/>
          <w:color w:val="auto"/>
          <w:lang w:val="en-US" w:eastAsia="zh-CN"/>
        </w:rPr>
        <w:t>5</w:t>
      </w:r>
      <w:r>
        <w:rPr>
          <w:rFonts w:hint="eastAsia"/>
          <w:color w:val="auto"/>
        </w:rPr>
        <w:t>.5 工厂企业清污分流</w:t>
      </w:r>
    </w:p>
    <w:p w14:paraId="5CE55192">
      <w:pPr>
        <w:pStyle w:val="41"/>
        <w:numPr>
          <w:ilvl w:val="0"/>
          <w:numId w:val="0"/>
        </w:numPr>
        <w:tabs>
          <w:tab w:val="center" w:pos="4201"/>
          <w:tab w:val="right" w:leader="dot" w:pos="9298"/>
        </w:tabs>
        <w:rPr>
          <w:rFonts w:hint="eastAsia" w:hAnsi="宋体" w:eastAsia="宋体" w:cs="宋体"/>
          <w:color w:val="auto"/>
          <w:lang w:val="en-US" w:eastAsia="zh-CN"/>
        </w:rPr>
      </w:pPr>
      <w:r>
        <w:rPr>
          <w:rFonts w:hint="eastAsia" w:hAnsi="宋体" w:eastAsia="宋体" w:cs="宋体"/>
          <w:color w:val="auto"/>
          <w:lang w:val="en-US" w:eastAsia="zh-CN"/>
        </w:rPr>
        <w:t xml:space="preserve">5.5.1 </w:t>
      </w:r>
      <w:r>
        <w:rPr>
          <w:rFonts w:hint="eastAsia" w:hAnsi="宋体" w:cs="宋体"/>
          <w:color w:val="auto"/>
          <w:lang w:val="en-US" w:eastAsia="zh-CN"/>
        </w:rPr>
        <w:t>工厂企业清污分流</w:t>
      </w:r>
      <w:r>
        <w:rPr>
          <w:rFonts w:hint="eastAsia" w:hAnsi="宋体" w:cs="宋体"/>
          <w:color w:val="auto"/>
          <w:szCs w:val="21"/>
        </w:rPr>
        <w:t>应按“雨污分流、污废分流”的原则实施源头雨污分流工程，建立两套排水系统，通过雨水系统收纳雨水；通过污水系统收纳生活污水及处理达标后的工业废水。</w:t>
      </w:r>
    </w:p>
    <w:p w14:paraId="1F70937F">
      <w:pPr>
        <w:pStyle w:val="41"/>
        <w:numPr>
          <w:ilvl w:val="0"/>
          <w:numId w:val="0"/>
        </w:numPr>
        <w:tabs>
          <w:tab w:val="center" w:pos="4201"/>
          <w:tab w:val="right" w:leader="dot" w:pos="9298"/>
        </w:tabs>
        <w:rPr>
          <w:rFonts w:hint="eastAsia" w:hAnsi="宋体" w:eastAsia="宋体" w:cs="宋体"/>
          <w:color w:val="auto"/>
          <w:lang w:val="en-US" w:eastAsia="zh-CN"/>
        </w:rPr>
      </w:pPr>
      <w:r>
        <w:rPr>
          <w:rFonts w:hint="eastAsia" w:hAnsi="宋体" w:eastAsia="宋体" w:cs="宋体"/>
          <w:color w:val="auto"/>
          <w:lang w:val="en-US" w:eastAsia="zh-CN"/>
        </w:rPr>
        <w:t>5.5.</w:t>
      </w:r>
      <w:r>
        <w:rPr>
          <w:rFonts w:hint="eastAsia" w:hAnsi="宋体" w:cs="宋体"/>
          <w:color w:val="auto"/>
          <w:lang w:val="en-US" w:eastAsia="zh-CN"/>
        </w:rPr>
        <w:t>2</w:t>
      </w:r>
      <w:r>
        <w:rPr>
          <w:rFonts w:hint="eastAsia" w:hAnsi="宋体" w:eastAsia="宋体" w:cs="宋体"/>
          <w:color w:val="auto"/>
          <w:lang w:val="en-US" w:eastAsia="zh-CN"/>
        </w:rPr>
        <w:t xml:space="preserve"> 对于存在废水偷排</w:t>
      </w:r>
      <w:r>
        <w:rPr>
          <w:rFonts w:hint="eastAsia" w:hAnsi="宋体" w:cs="宋体"/>
          <w:color w:val="auto"/>
          <w:lang w:val="en-US" w:eastAsia="zh-CN"/>
        </w:rPr>
        <w:t>的</w:t>
      </w:r>
      <w:r>
        <w:rPr>
          <w:rFonts w:hint="eastAsia" w:hAnsi="宋体" w:eastAsia="宋体" w:cs="宋体"/>
          <w:color w:val="auto"/>
          <w:lang w:val="en-US" w:eastAsia="zh-CN"/>
        </w:rPr>
        <w:t>工厂企业，应在工厂</w:t>
      </w:r>
      <w:r>
        <w:rPr>
          <w:rFonts w:hint="eastAsia" w:hAnsi="宋体" w:cs="宋体"/>
          <w:color w:val="auto"/>
          <w:lang w:val="en-US" w:eastAsia="zh-CN"/>
        </w:rPr>
        <w:t>企业</w:t>
      </w:r>
      <w:r>
        <w:rPr>
          <w:rFonts w:hint="eastAsia" w:hAnsi="宋体" w:eastAsia="宋体" w:cs="宋体"/>
          <w:color w:val="auto"/>
          <w:lang w:val="en-US" w:eastAsia="zh-CN"/>
        </w:rPr>
        <w:t>雨水管接至市政雨水管前设置智能分流井，在井内设置水质传感器，监测工厂的特征污染物指标，把工厂雨水管内偷排的没有超标的废水截流至污水系统，当排放的废水超标时，</w:t>
      </w:r>
      <w:r>
        <w:rPr>
          <w:rFonts w:hint="eastAsia" w:hAnsi="宋体" w:cs="宋体"/>
          <w:color w:val="auto"/>
          <w:lang w:val="en-US" w:eastAsia="zh-CN"/>
        </w:rPr>
        <w:t>应</w:t>
      </w:r>
      <w:r>
        <w:rPr>
          <w:rFonts w:hint="eastAsia" w:hAnsi="宋体" w:eastAsia="宋体" w:cs="宋体"/>
          <w:color w:val="auto"/>
          <w:lang w:val="en-US" w:eastAsia="zh-CN"/>
        </w:rPr>
        <w:t>远程发出预警。</w:t>
      </w:r>
    </w:p>
    <w:p w14:paraId="324CC2FE">
      <w:pPr>
        <w:pStyle w:val="41"/>
        <w:numPr>
          <w:ilvl w:val="0"/>
          <w:numId w:val="0"/>
        </w:numPr>
        <w:tabs>
          <w:tab w:val="center" w:pos="4201"/>
          <w:tab w:val="right" w:leader="dot" w:pos="9298"/>
        </w:tabs>
        <w:rPr>
          <w:rFonts w:hint="eastAsia" w:hAnsi="宋体" w:eastAsia="宋体" w:cs="宋体"/>
          <w:color w:val="auto"/>
          <w:lang w:val="en-US" w:eastAsia="zh-CN"/>
        </w:rPr>
      </w:pPr>
      <w:r>
        <w:rPr>
          <w:rFonts w:hint="eastAsia" w:hAnsi="宋体" w:cs="宋体"/>
          <w:color w:val="auto"/>
          <w:lang w:val="en-US" w:eastAsia="zh-CN"/>
        </w:rPr>
        <w:t>5.5.3 对于存在超标排放的</w:t>
      </w:r>
      <w:r>
        <w:rPr>
          <w:rFonts w:hint="eastAsia" w:hAnsi="宋体" w:eastAsia="宋体" w:cs="宋体"/>
          <w:color w:val="auto"/>
          <w:lang w:val="en-US" w:eastAsia="zh-CN"/>
        </w:rPr>
        <w:t>工厂企业</w:t>
      </w:r>
      <w:r>
        <w:rPr>
          <w:rFonts w:hint="eastAsia" w:hAnsi="宋体" w:cs="宋体"/>
          <w:color w:val="auto"/>
          <w:lang w:val="en-US" w:eastAsia="zh-CN"/>
        </w:rPr>
        <w:t>，应</w:t>
      </w:r>
      <w:r>
        <w:rPr>
          <w:rFonts w:hint="eastAsia" w:hAnsi="宋体" w:eastAsia="宋体" w:cs="宋体"/>
          <w:color w:val="auto"/>
          <w:lang w:val="en-US" w:eastAsia="zh-CN"/>
        </w:rPr>
        <w:t>在工厂企业的污水管接至市政污水管前设置水质监控井，对工厂的污水水质进行实时监测，当排放的污水水质超标时，</w:t>
      </w:r>
      <w:r>
        <w:rPr>
          <w:rFonts w:hint="eastAsia" w:hAnsi="宋体" w:cs="宋体"/>
          <w:color w:val="auto"/>
          <w:lang w:val="en-US" w:eastAsia="zh-CN"/>
        </w:rPr>
        <w:t>应</w:t>
      </w:r>
      <w:r>
        <w:rPr>
          <w:rFonts w:hint="eastAsia" w:hAnsi="宋体" w:eastAsia="宋体" w:cs="宋体"/>
          <w:color w:val="auto"/>
          <w:lang w:val="en-US" w:eastAsia="zh-CN"/>
        </w:rPr>
        <w:t>远程发出预警，并关闭工厂污水出水口，责令工厂整改。</w:t>
      </w:r>
    </w:p>
    <w:p w14:paraId="3BE78CD8">
      <w:pPr>
        <w:pStyle w:val="41"/>
        <w:numPr>
          <w:ilvl w:val="0"/>
          <w:numId w:val="0"/>
        </w:numPr>
        <w:tabs>
          <w:tab w:val="center" w:pos="4201"/>
          <w:tab w:val="right" w:leader="dot" w:pos="9298"/>
        </w:tabs>
        <w:rPr>
          <w:rFonts w:hint="eastAsia" w:hAnsi="宋体" w:cs="宋体"/>
          <w:color w:val="auto"/>
          <w:lang w:val="en-US" w:eastAsia="zh-CN"/>
        </w:rPr>
      </w:pPr>
      <w:r>
        <w:rPr>
          <w:rFonts w:hint="eastAsia" w:hAnsi="宋体" w:cs="宋体"/>
          <w:color w:val="auto"/>
          <w:lang w:val="en-US" w:eastAsia="zh-CN"/>
        </w:rPr>
        <w:t>5.5.4 工业园区内所有排入市政污水管的污水应满足GB/T 31962的规定。</w:t>
      </w:r>
    </w:p>
    <w:p w14:paraId="41522B62">
      <w:pPr>
        <w:pStyle w:val="40"/>
        <w:spacing w:before="156" w:after="156"/>
        <w:rPr>
          <w:color w:val="auto"/>
        </w:rPr>
      </w:pPr>
      <w:r>
        <w:rPr>
          <w:rFonts w:hint="eastAsia"/>
          <w:color w:val="auto"/>
          <w:lang w:val="en-US" w:eastAsia="zh-CN"/>
        </w:rPr>
        <w:t>5</w:t>
      </w:r>
      <w:r>
        <w:rPr>
          <w:rFonts w:hint="eastAsia"/>
          <w:color w:val="auto"/>
        </w:rPr>
        <w:t>.</w:t>
      </w:r>
      <w:r>
        <w:rPr>
          <w:rFonts w:hint="eastAsia"/>
          <w:color w:val="auto"/>
          <w:lang w:val="en-US" w:eastAsia="zh-CN"/>
        </w:rPr>
        <w:t>6</w:t>
      </w:r>
      <w:r>
        <w:rPr>
          <w:rFonts w:hint="eastAsia"/>
          <w:color w:val="auto"/>
        </w:rPr>
        <w:t xml:space="preserve"> </w:t>
      </w:r>
      <w:r>
        <w:rPr>
          <w:rFonts w:hint="eastAsia"/>
          <w:color w:val="auto"/>
          <w:lang w:val="en-US" w:eastAsia="zh-CN"/>
        </w:rPr>
        <w:t>排口</w:t>
      </w:r>
      <w:r>
        <w:rPr>
          <w:rFonts w:hint="eastAsia"/>
          <w:color w:val="auto"/>
        </w:rPr>
        <w:t>清污分流</w:t>
      </w:r>
    </w:p>
    <w:p w14:paraId="78FF6277">
      <w:pPr>
        <w:pStyle w:val="41"/>
        <w:numPr>
          <w:ilvl w:val="0"/>
          <w:numId w:val="0"/>
        </w:numPr>
        <w:tabs>
          <w:tab w:val="center" w:pos="4201"/>
          <w:tab w:val="right" w:leader="dot" w:pos="9298"/>
        </w:tabs>
        <w:rPr>
          <w:rFonts w:hint="eastAsia" w:hAnsi="宋体" w:cs="宋体"/>
          <w:color w:val="auto"/>
          <w:lang w:val="en-US" w:eastAsia="zh-CN"/>
        </w:rPr>
      </w:pPr>
      <w:r>
        <w:rPr>
          <w:rFonts w:hint="eastAsia" w:hAnsi="宋体" w:cs="宋体"/>
          <w:color w:val="auto"/>
          <w:lang w:val="en-US" w:eastAsia="zh-CN"/>
        </w:rPr>
        <w:t>5.6.1 排口的清污分流应通过智能截流、调蓄和快速净化处理等方式实现排口出流污染的控制和削减。</w:t>
      </w:r>
    </w:p>
    <w:p w14:paraId="2CBE6558">
      <w:pPr>
        <w:pStyle w:val="241"/>
        <w:numPr>
          <w:ilvl w:val="2"/>
          <w:numId w:val="0"/>
        </w:numPr>
        <w:spacing w:before="156" w:after="156"/>
        <w:ind w:left="-10"/>
        <w:outlineLvl w:val="9"/>
        <w:rPr>
          <w:rFonts w:hint="eastAsia" w:hAnsi="宋体" w:eastAsia="宋体" w:cs="宋体"/>
          <w:color w:val="auto"/>
        </w:rPr>
      </w:pPr>
      <w:r>
        <w:rPr>
          <w:rFonts w:hint="eastAsia" w:hAnsi="宋体" w:eastAsia="宋体" w:cs="宋体"/>
          <w:color w:val="auto"/>
          <w:lang w:val="en-US" w:eastAsia="zh-CN"/>
        </w:rPr>
        <w:t>5</w:t>
      </w:r>
      <w:r>
        <w:rPr>
          <w:rFonts w:hint="eastAsia" w:hAnsi="宋体" w:eastAsia="宋体" w:cs="宋体"/>
          <w:color w:val="auto"/>
        </w:rPr>
        <w:t>.</w:t>
      </w:r>
      <w:r>
        <w:rPr>
          <w:rFonts w:hint="eastAsia" w:hAnsi="宋体" w:eastAsia="宋体" w:cs="宋体"/>
          <w:color w:val="auto"/>
          <w:lang w:val="en-US" w:eastAsia="zh-CN"/>
        </w:rPr>
        <w:t>6</w:t>
      </w:r>
      <w:r>
        <w:rPr>
          <w:rFonts w:hint="eastAsia" w:hAnsi="宋体" w:eastAsia="宋体" w:cs="宋体"/>
          <w:color w:val="auto"/>
        </w:rPr>
        <w:t>.</w:t>
      </w:r>
      <w:r>
        <w:rPr>
          <w:rFonts w:hint="eastAsia" w:hAnsi="宋体" w:eastAsia="宋体" w:cs="宋体"/>
          <w:color w:val="auto"/>
          <w:lang w:val="en-US" w:eastAsia="zh-CN"/>
        </w:rPr>
        <w:t>2</w:t>
      </w:r>
      <w:r>
        <w:rPr>
          <w:rFonts w:hint="eastAsia" w:hAnsi="宋体" w:eastAsia="宋体" w:cs="宋体"/>
          <w:color w:val="auto"/>
        </w:rPr>
        <w:t xml:space="preserve"> 排口</w:t>
      </w:r>
      <w:r>
        <w:rPr>
          <w:rFonts w:hint="eastAsia" w:hAnsi="宋体" w:eastAsia="宋体" w:cs="宋体"/>
          <w:color w:val="auto"/>
          <w:lang w:val="en-US" w:eastAsia="zh-CN"/>
        </w:rPr>
        <w:t>前</w:t>
      </w:r>
      <w:r>
        <w:rPr>
          <w:rFonts w:hint="eastAsia" w:hAnsi="宋体" w:eastAsia="宋体" w:cs="宋体"/>
          <w:color w:val="auto"/>
        </w:rPr>
        <w:t>现状传统的截流设施宜优先采用智能化改造，智能化改造困难的应新建智能分流井。</w:t>
      </w:r>
    </w:p>
    <w:p w14:paraId="70A70234">
      <w:pPr>
        <w:pStyle w:val="241"/>
        <w:numPr>
          <w:ilvl w:val="2"/>
          <w:numId w:val="0"/>
        </w:numPr>
        <w:spacing w:before="156" w:after="156"/>
        <w:ind w:left="-10"/>
        <w:outlineLvl w:val="9"/>
        <w:rPr>
          <w:rFonts w:hAnsi="宋体" w:eastAsia="宋体" w:cs="宋体"/>
          <w:color w:val="auto"/>
        </w:rPr>
      </w:pPr>
      <w:r>
        <w:rPr>
          <w:rFonts w:hint="eastAsia" w:hAnsi="宋体" w:eastAsia="宋体" w:cs="宋体"/>
          <w:color w:val="auto"/>
          <w:lang w:val="en-US" w:eastAsia="zh-CN"/>
        </w:rPr>
        <w:t>5</w:t>
      </w:r>
      <w:r>
        <w:rPr>
          <w:rFonts w:hint="eastAsia" w:hAnsi="宋体" w:eastAsia="宋体" w:cs="宋体"/>
          <w:color w:val="auto"/>
        </w:rPr>
        <w:t>.</w:t>
      </w:r>
      <w:r>
        <w:rPr>
          <w:rFonts w:hint="eastAsia" w:hAnsi="宋体" w:eastAsia="宋体" w:cs="宋体"/>
          <w:color w:val="auto"/>
          <w:lang w:val="en-US" w:eastAsia="zh-CN"/>
        </w:rPr>
        <w:t>6</w:t>
      </w:r>
      <w:r>
        <w:rPr>
          <w:rFonts w:hint="eastAsia" w:hAnsi="宋体" w:eastAsia="宋体" w:cs="宋体"/>
          <w:color w:val="auto"/>
        </w:rPr>
        <w:t>.</w:t>
      </w:r>
      <w:r>
        <w:rPr>
          <w:rFonts w:hint="eastAsia" w:hAnsi="宋体" w:eastAsia="宋体" w:cs="宋体"/>
          <w:color w:val="auto"/>
          <w:lang w:val="en-US" w:eastAsia="zh-CN"/>
        </w:rPr>
        <w:t>3</w:t>
      </w:r>
      <w:r>
        <w:rPr>
          <w:rFonts w:hint="eastAsia" w:hAnsi="宋体" w:eastAsia="宋体" w:cs="宋体"/>
          <w:color w:val="auto"/>
        </w:rPr>
        <w:t xml:space="preserve"> 排口清污分流</w:t>
      </w:r>
      <w:r>
        <w:rPr>
          <w:rFonts w:hint="eastAsia" w:hAnsi="宋体" w:eastAsia="宋体" w:cs="宋体"/>
          <w:color w:val="auto"/>
          <w:lang w:val="en-US" w:eastAsia="zh-CN"/>
        </w:rPr>
        <w:t>改造应符合以下规定</w:t>
      </w:r>
      <w:r>
        <w:rPr>
          <w:rFonts w:hint="eastAsia" w:hAnsi="宋体" w:eastAsia="宋体" w:cs="宋体"/>
          <w:color w:val="auto"/>
        </w:rPr>
        <w:t>：</w:t>
      </w:r>
    </w:p>
    <w:p w14:paraId="7980A985">
      <w:pPr>
        <w:pStyle w:val="41"/>
        <w:numPr>
          <w:ilvl w:val="0"/>
          <w:numId w:val="44"/>
        </w:numPr>
        <w:tabs>
          <w:tab w:val="center" w:pos="4201"/>
          <w:tab w:val="right" w:leader="dot" w:pos="9298"/>
        </w:tabs>
        <w:ind w:left="726" w:leftChars="0" w:hanging="306"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对于下游设置有水位调控设施的城市河道或湖库型地表水体，在保障生态流速的前提下，宜适当降低城市水体水位，降低倒灌风险。对于水位无法调控降低的城市水体，应对截流设施溢流口或雨水排口安装防倒灌设施，防倒灌设施禁止使用鸭嘴阀、拍门以及叠梁闸，应采用智能防倒灌设备；</w:t>
      </w:r>
    </w:p>
    <w:p w14:paraId="50CDA154">
      <w:pPr>
        <w:pStyle w:val="41"/>
        <w:numPr>
          <w:ilvl w:val="0"/>
          <w:numId w:val="44"/>
        </w:numPr>
        <w:tabs>
          <w:tab w:val="center" w:pos="4201"/>
          <w:tab w:val="right" w:leader="dot" w:pos="9298"/>
        </w:tabs>
        <w:ind w:left="726" w:leftChars="0" w:hanging="306"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对于存在污水混错接的雨水排口，实施混错接点改造施工困难或成本较高时，宜在排口前设置智能分流井，把旱流污水截流至污水处理厂处理；</w:t>
      </w:r>
    </w:p>
    <w:p w14:paraId="2FF558F5">
      <w:pPr>
        <w:pStyle w:val="41"/>
        <w:numPr>
          <w:ilvl w:val="0"/>
          <w:numId w:val="44"/>
        </w:numPr>
        <w:tabs>
          <w:tab w:val="center" w:pos="4201"/>
          <w:tab w:val="right" w:leader="dot" w:pos="9298"/>
        </w:tabs>
        <w:ind w:left="726" w:leftChars="0" w:hanging="306"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对于面源污染严重的雨水排口，降雨初期的雨水宜先进入快速净化处理设施就地处理后排入河湖，当水体水质要求较高的，降雨初期的雨水应收集至调蓄处理设施；</w:t>
      </w:r>
    </w:p>
    <w:p w14:paraId="0A4EC130">
      <w:pPr>
        <w:pStyle w:val="41"/>
        <w:numPr>
          <w:ilvl w:val="0"/>
          <w:numId w:val="44"/>
        </w:numPr>
        <w:tabs>
          <w:tab w:val="center" w:pos="4201"/>
          <w:tab w:val="right" w:leader="dot" w:pos="9298"/>
        </w:tabs>
        <w:ind w:left="726" w:leftChars="0" w:hanging="306"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对于分流制污水直排口，污水收集系统未完善前，采用污水就地处理设施处理后就地排放；污水收集系统完善时，同步封堵污水排水口，废除现状污水处理装置，污水接入污水处理系统，最终进入污水处理厂；</w:t>
      </w:r>
    </w:p>
    <w:p w14:paraId="1885D370">
      <w:pPr>
        <w:pStyle w:val="41"/>
        <w:numPr>
          <w:ilvl w:val="0"/>
          <w:numId w:val="44"/>
        </w:numPr>
        <w:tabs>
          <w:tab w:val="center" w:pos="4201"/>
          <w:tab w:val="right" w:leader="dot" w:pos="9298"/>
        </w:tabs>
        <w:ind w:left="726" w:leftChars="0" w:hanging="306"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对于合流制排水口，近期应在排口前设置智能分流井，控制合流排口的溢流污染；远期市政道路清污分流后，智能分流井可用于削减上游区域的面源污染。</w:t>
      </w:r>
    </w:p>
    <w:p w14:paraId="751C0F12">
      <w:pPr>
        <w:pStyle w:val="40"/>
        <w:spacing w:before="156" w:after="156"/>
        <w:rPr>
          <w:rFonts w:hint="eastAsia" w:eastAsia="黑体"/>
          <w:color w:val="auto"/>
          <w:lang w:val="en-US" w:eastAsia="zh-CN"/>
        </w:rPr>
      </w:pPr>
      <w:r>
        <w:rPr>
          <w:rFonts w:hint="eastAsia"/>
          <w:color w:val="auto"/>
          <w:lang w:val="en-US" w:eastAsia="zh-CN"/>
        </w:rPr>
        <w:t>5</w:t>
      </w:r>
      <w:r>
        <w:rPr>
          <w:rFonts w:hint="eastAsia"/>
          <w:color w:val="auto"/>
        </w:rPr>
        <w:t>.</w:t>
      </w:r>
      <w:r>
        <w:rPr>
          <w:rFonts w:hint="eastAsia"/>
          <w:color w:val="auto"/>
          <w:lang w:val="en-US" w:eastAsia="zh-CN"/>
        </w:rPr>
        <w:t>7</w:t>
      </w:r>
      <w:r>
        <w:rPr>
          <w:rFonts w:hint="eastAsia"/>
          <w:color w:val="auto"/>
        </w:rPr>
        <w:t xml:space="preserve"> 截流调蓄</w:t>
      </w:r>
      <w:r>
        <w:rPr>
          <w:rFonts w:hint="eastAsia"/>
          <w:color w:val="auto"/>
          <w:lang w:val="en-US" w:eastAsia="zh-CN"/>
        </w:rPr>
        <w:t>系统</w:t>
      </w:r>
    </w:p>
    <w:p w14:paraId="28D94EBB">
      <w:pPr>
        <w:pStyle w:val="41"/>
        <w:ind w:left="0" w:leftChars="0" w:firstLine="0" w:firstLineChars="0"/>
        <w:rPr>
          <w:rFonts w:hint="eastAsia" w:hAnsi="宋体" w:eastAsia="宋体" w:cs="宋体"/>
          <w:color w:val="auto"/>
        </w:rPr>
      </w:pPr>
      <w:r>
        <w:rPr>
          <w:rFonts w:hint="eastAsia" w:hAnsi="宋体" w:eastAsia="宋体" w:cs="宋体"/>
          <w:color w:val="auto"/>
          <w:lang w:val="en-US" w:eastAsia="zh-CN"/>
        </w:rPr>
        <w:t>5</w:t>
      </w:r>
      <w:r>
        <w:rPr>
          <w:rFonts w:hint="eastAsia" w:hAnsi="宋体" w:eastAsia="宋体" w:cs="宋体"/>
          <w:color w:val="auto"/>
        </w:rPr>
        <w:t>.</w:t>
      </w:r>
      <w:r>
        <w:rPr>
          <w:rFonts w:hint="eastAsia" w:hAnsi="宋体" w:cs="宋体"/>
          <w:color w:val="auto"/>
          <w:lang w:val="en-US" w:eastAsia="zh-CN"/>
        </w:rPr>
        <w:t>7</w:t>
      </w:r>
      <w:r>
        <w:rPr>
          <w:rFonts w:hint="eastAsia" w:hAnsi="宋体" w:eastAsia="宋体" w:cs="宋体"/>
          <w:color w:val="auto"/>
        </w:rPr>
        <w:t>.1 截流调蓄系统应根据雨水径流初期效应、水质特性和下游污水系统的处理能力、模型模拟结果等因素综合确定。</w:t>
      </w:r>
    </w:p>
    <w:p w14:paraId="15024F8E">
      <w:pPr>
        <w:pStyle w:val="41"/>
        <w:ind w:left="0" w:leftChars="0" w:firstLine="0" w:firstLineChars="0"/>
        <w:rPr>
          <w:rFonts w:hint="eastAsia" w:hAnsi="宋体" w:eastAsia="宋体" w:cs="宋体"/>
          <w:color w:val="auto"/>
        </w:rPr>
      </w:pPr>
      <w:r>
        <w:rPr>
          <w:rFonts w:hint="eastAsia" w:hAnsi="宋体" w:eastAsia="宋体" w:cs="宋体"/>
          <w:color w:val="auto"/>
          <w:lang w:val="en-US" w:eastAsia="zh-CN"/>
        </w:rPr>
        <w:t>5</w:t>
      </w:r>
      <w:r>
        <w:rPr>
          <w:rFonts w:hint="eastAsia" w:hAnsi="宋体" w:eastAsia="宋体" w:cs="宋体"/>
          <w:color w:val="auto"/>
        </w:rPr>
        <w:t>.</w:t>
      </w:r>
      <w:r>
        <w:rPr>
          <w:rFonts w:hint="eastAsia" w:hAnsi="宋体" w:cs="宋体"/>
          <w:color w:val="auto"/>
          <w:lang w:val="en-US" w:eastAsia="zh-CN"/>
        </w:rPr>
        <w:t>7</w:t>
      </w:r>
      <w:r>
        <w:rPr>
          <w:rFonts w:hint="eastAsia" w:hAnsi="宋体" w:eastAsia="宋体" w:cs="宋体"/>
          <w:color w:val="auto"/>
        </w:rPr>
        <w:t>.2 截流调蓄</w:t>
      </w:r>
      <w:r>
        <w:rPr>
          <w:rFonts w:hint="eastAsia" w:hAnsi="宋体" w:eastAsia="宋体" w:cs="宋体"/>
          <w:color w:val="auto"/>
          <w:lang w:val="en-US" w:eastAsia="zh-CN"/>
        </w:rPr>
        <w:t>系统应符合以下规定</w:t>
      </w:r>
      <w:r>
        <w:rPr>
          <w:rFonts w:hint="eastAsia" w:hAnsi="宋体" w:eastAsia="宋体" w:cs="宋体"/>
          <w:color w:val="auto"/>
        </w:rPr>
        <w:t>：</w:t>
      </w:r>
    </w:p>
    <w:p w14:paraId="41A92451">
      <w:pPr>
        <w:pStyle w:val="41"/>
        <w:numPr>
          <w:ilvl w:val="0"/>
          <w:numId w:val="45"/>
        </w:numPr>
        <w:tabs>
          <w:tab w:val="center" w:pos="4201"/>
          <w:tab w:val="right" w:leader="dot" w:pos="9298"/>
        </w:tabs>
        <w:ind w:left="726" w:leftChars="0" w:hanging="306" w:firstLineChars="0"/>
        <w:rPr>
          <w:rFonts w:hint="eastAsia" w:hAnsi="宋体" w:cs="宋体"/>
          <w:color w:val="auto"/>
          <w:szCs w:val="21"/>
          <w:lang w:val="en-US" w:eastAsia="zh-CN"/>
        </w:rPr>
      </w:pPr>
      <w:r>
        <w:rPr>
          <w:rFonts w:hint="eastAsia" w:hAnsi="宋体" w:cs="宋体"/>
          <w:color w:val="auto"/>
          <w:szCs w:val="21"/>
          <w:lang w:val="en-US" w:eastAsia="zh-CN"/>
        </w:rPr>
        <w:t>对于源头区域的智能分流井，截流的污水和初期雨水应接至市政污水系统，另需评估下游污水管道的旱天过流能力，并校核雨天截流能力，满足要求的可兼顾雨天截流功能。雨天截流能力不满足的宜新建截流管或初雨管；</w:t>
      </w:r>
    </w:p>
    <w:p w14:paraId="7DAB97DF">
      <w:pPr>
        <w:pStyle w:val="41"/>
        <w:numPr>
          <w:ilvl w:val="0"/>
          <w:numId w:val="45"/>
        </w:numPr>
        <w:tabs>
          <w:tab w:val="center" w:pos="4201"/>
          <w:tab w:val="right" w:leader="dot" w:pos="9298"/>
        </w:tabs>
        <w:ind w:left="726" w:leftChars="0" w:hanging="306" w:firstLineChars="0"/>
        <w:rPr>
          <w:rFonts w:hint="eastAsia" w:hAnsi="宋体" w:cs="宋体"/>
          <w:color w:val="auto"/>
          <w:szCs w:val="21"/>
          <w:lang w:val="en-US" w:eastAsia="zh-CN"/>
        </w:rPr>
      </w:pPr>
      <w:r>
        <w:rPr>
          <w:rFonts w:hint="eastAsia" w:hAnsi="宋体" w:cs="宋体"/>
          <w:color w:val="auto"/>
          <w:szCs w:val="21"/>
          <w:lang w:val="en-US" w:eastAsia="zh-CN"/>
        </w:rPr>
        <w:t>现状区域以污水转输功能为主的污水干管，应将截流设施予以剥离，并根据调蓄设施布局规划新建截流管道或初雨管，实现截流水量“专管专送”；</w:t>
      </w:r>
    </w:p>
    <w:p w14:paraId="09F96B76">
      <w:pPr>
        <w:pStyle w:val="41"/>
        <w:numPr>
          <w:ilvl w:val="0"/>
          <w:numId w:val="45"/>
        </w:numPr>
        <w:tabs>
          <w:tab w:val="center" w:pos="4201"/>
          <w:tab w:val="right" w:leader="dot" w:pos="9298"/>
        </w:tabs>
        <w:ind w:left="726" w:leftChars="0" w:hanging="306" w:firstLineChars="0"/>
        <w:rPr>
          <w:rFonts w:hint="eastAsia" w:hAnsi="宋体" w:cs="宋体"/>
          <w:color w:val="auto"/>
          <w:szCs w:val="21"/>
          <w:lang w:val="en-US" w:eastAsia="zh-CN"/>
        </w:rPr>
      </w:pPr>
      <w:r>
        <w:rPr>
          <w:rFonts w:hint="eastAsia" w:hAnsi="宋体" w:cs="宋体"/>
          <w:color w:val="auto"/>
          <w:szCs w:val="21"/>
          <w:lang w:val="en-US" w:eastAsia="zh-CN"/>
        </w:rPr>
        <w:t>对于排口的智能分流井，截流的污水和初期雨水应接至沿河的截污调蓄处理系统；</w:t>
      </w:r>
    </w:p>
    <w:p w14:paraId="2898860B">
      <w:pPr>
        <w:pStyle w:val="41"/>
        <w:numPr>
          <w:ilvl w:val="0"/>
          <w:numId w:val="45"/>
        </w:numPr>
        <w:tabs>
          <w:tab w:val="center" w:pos="4201"/>
          <w:tab w:val="right" w:leader="dot" w:pos="9298"/>
        </w:tabs>
        <w:ind w:left="726" w:leftChars="0" w:hanging="306" w:firstLineChars="0"/>
        <w:rPr>
          <w:rFonts w:hint="eastAsia" w:hAnsi="宋体" w:cs="宋体"/>
          <w:color w:val="auto"/>
          <w:szCs w:val="21"/>
          <w:lang w:val="en-US" w:eastAsia="zh-CN"/>
        </w:rPr>
      </w:pPr>
      <w:r>
        <w:rPr>
          <w:rFonts w:hint="eastAsia" w:hAnsi="宋体" w:cs="宋体"/>
          <w:color w:val="auto"/>
          <w:szCs w:val="21"/>
          <w:lang w:val="en-US" w:eastAsia="zh-CN"/>
        </w:rPr>
        <w:t>污水处理厂处理能力应与污水管网输送能力相匹配，当污水处理厂最大处理能力不能满足峰值水量时，应采取调蓄技术设施避免直接溢流；当调蓄设施也不能满足要求时，再考虑建设溢流污水快速净化设施。</w:t>
      </w:r>
    </w:p>
    <w:p w14:paraId="52626D17">
      <w:pPr>
        <w:pStyle w:val="41"/>
        <w:ind w:left="0" w:leftChars="0" w:firstLine="0" w:firstLineChars="0"/>
        <w:rPr>
          <w:rFonts w:hint="eastAsia" w:hAnsi="宋体" w:eastAsia="宋体" w:cs="宋体"/>
          <w:color w:val="auto"/>
        </w:rPr>
      </w:pPr>
      <w:r>
        <w:rPr>
          <w:rFonts w:hint="eastAsia" w:hAnsi="宋体" w:eastAsia="宋体" w:cs="宋体"/>
          <w:color w:val="auto"/>
          <w:lang w:val="en-US" w:eastAsia="zh-CN"/>
        </w:rPr>
        <w:t>5</w:t>
      </w:r>
      <w:r>
        <w:rPr>
          <w:rFonts w:hint="eastAsia" w:hAnsi="宋体" w:eastAsia="宋体" w:cs="宋体"/>
          <w:color w:val="auto"/>
        </w:rPr>
        <w:t>.</w:t>
      </w:r>
      <w:r>
        <w:rPr>
          <w:rFonts w:hint="eastAsia" w:hAnsi="宋体" w:cs="宋体"/>
          <w:color w:val="auto"/>
          <w:lang w:val="en-US" w:eastAsia="zh-CN"/>
        </w:rPr>
        <w:t>7</w:t>
      </w:r>
      <w:r>
        <w:rPr>
          <w:rFonts w:hint="eastAsia" w:hAnsi="宋体" w:eastAsia="宋体" w:cs="宋体"/>
          <w:color w:val="auto"/>
        </w:rPr>
        <w:t>.3 智能分流井</w:t>
      </w:r>
      <w:r>
        <w:rPr>
          <w:rFonts w:hint="eastAsia" w:hAnsi="宋体" w:eastAsia="宋体" w:cs="宋体"/>
          <w:color w:val="auto"/>
          <w:lang w:val="en-US" w:eastAsia="zh-CN"/>
        </w:rPr>
        <w:t>设施应符合以下规定</w:t>
      </w:r>
      <w:r>
        <w:rPr>
          <w:rFonts w:hint="eastAsia" w:hAnsi="宋体" w:eastAsia="宋体" w:cs="宋体"/>
          <w:color w:val="auto"/>
        </w:rPr>
        <w:t>：</w:t>
      </w:r>
    </w:p>
    <w:p w14:paraId="6261FB3A">
      <w:pPr>
        <w:pStyle w:val="41"/>
        <w:numPr>
          <w:ilvl w:val="0"/>
          <w:numId w:val="46"/>
        </w:numPr>
        <w:tabs>
          <w:tab w:val="center" w:pos="4201"/>
          <w:tab w:val="right" w:leader="dot" w:pos="9298"/>
        </w:tabs>
        <w:ind w:left="726" w:leftChars="0" w:hanging="306" w:firstLineChars="0"/>
        <w:rPr>
          <w:rFonts w:hint="eastAsia" w:hAnsi="宋体" w:cs="宋体"/>
          <w:color w:val="auto"/>
          <w:szCs w:val="21"/>
          <w:lang w:val="en-US" w:eastAsia="zh-CN"/>
        </w:rPr>
      </w:pPr>
      <w:r>
        <w:rPr>
          <w:rFonts w:hint="eastAsia" w:hAnsi="宋体" w:cs="宋体"/>
          <w:color w:val="auto"/>
          <w:szCs w:val="21"/>
          <w:lang w:val="en-US" w:eastAsia="zh-CN"/>
        </w:rPr>
        <w:t>智能分流井汇水范围内初雨特征明显时，应采用雨量法进行截流控制，截流的雨量一般宜设置在4</w:t>
      </w:r>
      <w:r>
        <w:rPr>
          <w:rFonts w:hint="default" w:ascii="Times New Roman" w:hAnsi="Times New Roman" w:cs="Times New Roman"/>
          <w:color w:val="auto"/>
          <w:szCs w:val="21"/>
          <w:lang w:val="en-US" w:eastAsia="zh-CN"/>
        </w:rPr>
        <w:t>~</w:t>
      </w:r>
      <w:r>
        <w:rPr>
          <w:rFonts w:hint="eastAsia" w:hAnsi="宋体" w:cs="宋体"/>
          <w:color w:val="auto"/>
          <w:szCs w:val="21"/>
          <w:lang w:val="en-US" w:eastAsia="zh-CN"/>
        </w:rPr>
        <w:t>8mm；</w:t>
      </w:r>
    </w:p>
    <w:p w14:paraId="321CA5F6">
      <w:pPr>
        <w:pStyle w:val="41"/>
        <w:numPr>
          <w:ilvl w:val="0"/>
          <w:numId w:val="46"/>
        </w:numPr>
        <w:tabs>
          <w:tab w:val="center" w:pos="4201"/>
          <w:tab w:val="right" w:leader="dot" w:pos="9298"/>
        </w:tabs>
        <w:ind w:left="726" w:leftChars="0" w:hanging="306" w:firstLineChars="0"/>
        <w:rPr>
          <w:rFonts w:hint="eastAsia" w:hAnsi="宋体" w:cs="宋体"/>
          <w:color w:val="auto"/>
          <w:szCs w:val="21"/>
          <w:lang w:val="en-US" w:eastAsia="zh-CN"/>
        </w:rPr>
      </w:pPr>
      <w:r>
        <w:rPr>
          <w:rFonts w:hint="eastAsia" w:hAnsi="宋体" w:cs="宋体"/>
          <w:color w:val="auto"/>
          <w:szCs w:val="21"/>
          <w:lang w:val="en-US" w:eastAsia="zh-CN"/>
        </w:rPr>
        <w:t>智能分流井汇水范围内初雨特征不明显时，宜采用水质法进行截流控制，水质指标根据实际情况宜选用COD或氨氮。水质浓度设置值根据实际项目的要求进行设定，没有具体要求时，智能分流井水质浓度初始设定值宜根据上游汇水范围历史降雨出流水质特征曲线进行确定，在经历一定周期的数据积累后，控制参数应进行调整优化；</w:t>
      </w:r>
    </w:p>
    <w:p w14:paraId="5651F34D">
      <w:pPr>
        <w:pStyle w:val="41"/>
        <w:numPr>
          <w:ilvl w:val="0"/>
          <w:numId w:val="46"/>
        </w:numPr>
        <w:tabs>
          <w:tab w:val="center" w:pos="4201"/>
          <w:tab w:val="right" w:leader="dot" w:pos="9298"/>
        </w:tabs>
        <w:ind w:left="726" w:leftChars="0" w:hanging="306" w:firstLineChars="0"/>
        <w:rPr>
          <w:rFonts w:hint="eastAsia" w:hAnsi="宋体" w:cs="宋体"/>
          <w:color w:val="auto"/>
          <w:szCs w:val="21"/>
          <w:lang w:val="en-US" w:eastAsia="zh-CN"/>
        </w:rPr>
      </w:pPr>
      <w:r>
        <w:rPr>
          <w:rFonts w:hint="eastAsia" w:hAnsi="宋体" w:cs="宋体"/>
          <w:color w:val="auto"/>
          <w:szCs w:val="21"/>
          <w:lang w:val="en-US" w:eastAsia="zh-CN"/>
        </w:rPr>
        <w:t>智能分流井应具有截流管限流功能；</w:t>
      </w:r>
    </w:p>
    <w:p w14:paraId="13C49D42">
      <w:pPr>
        <w:pStyle w:val="41"/>
        <w:numPr>
          <w:ilvl w:val="0"/>
          <w:numId w:val="46"/>
        </w:numPr>
        <w:tabs>
          <w:tab w:val="center" w:pos="4201"/>
          <w:tab w:val="right" w:leader="dot" w:pos="9298"/>
        </w:tabs>
        <w:ind w:left="726" w:leftChars="0" w:hanging="306" w:firstLineChars="0"/>
        <w:rPr>
          <w:rFonts w:hint="eastAsia" w:hAnsi="宋体" w:cs="宋体"/>
          <w:color w:val="auto"/>
          <w:szCs w:val="21"/>
          <w:lang w:val="en-US" w:eastAsia="zh-CN"/>
        </w:rPr>
      </w:pPr>
      <w:r>
        <w:rPr>
          <w:rFonts w:hint="eastAsia" w:hAnsi="宋体" w:cs="宋体"/>
          <w:color w:val="auto"/>
          <w:szCs w:val="21"/>
          <w:lang w:val="en-US" w:eastAsia="zh-CN"/>
        </w:rPr>
        <w:t>智能分流井应具备就地手动和自动控制的功能，并能实现数据上传和远程控制。</w:t>
      </w:r>
    </w:p>
    <w:p w14:paraId="4DB67582">
      <w:pPr>
        <w:pStyle w:val="41"/>
        <w:ind w:left="0" w:leftChars="0" w:firstLine="0" w:firstLineChars="0"/>
        <w:rPr>
          <w:rFonts w:hint="eastAsia" w:hAnsi="宋体" w:eastAsia="宋体" w:cs="宋体"/>
          <w:color w:val="auto"/>
        </w:rPr>
      </w:pPr>
      <w:r>
        <w:rPr>
          <w:rFonts w:hint="eastAsia" w:hAnsi="宋体" w:cs="宋体"/>
          <w:color w:val="auto"/>
          <w:lang w:val="en-US" w:eastAsia="zh-CN"/>
        </w:rPr>
        <w:t>5</w:t>
      </w:r>
      <w:r>
        <w:rPr>
          <w:rFonts w:hint="eastAsia" w:hAnsi="宋体" w:eastAsia="宋体" w:cs="宋体"/>
          <w:color w:val="auto"/>
        </w:rPr>
        <w:t>.</w:t>
      </w:r>
      <w:r>
        <w:rPr>
          <w:rFonts w:hint="eastAsia" w:hAnsi="宋体" w:cs="宋体"/>
          <w:color w:val="auto"/>
          <w:lang w:val="en-US" w:eastAsia="zh-CN"/>
        </w:rPr>
        <w:t>7</w:t>
      </w:r>
      <w:r>
        <w:rPr>
          <w:rFonts w:hint="eastAsia" w:hAnsi="宋体" w:eastAsia="宋体" w:cs="宋体"/>
          <w:color w:val="auto"/>
        </w:rPr>
        <w:t>.4 调蓄池</w:t>
      </w:r>
      <w:r>
        <w:rPr>
          <w:rFonts w:hint="eastAsia" w:hAnsi="宋体" w:eastAsia="宋体" w:cs="宋体"/>
          <w:color w:val="auto"/>
          <w:lang w:val="en-US" w:eastAsia="zh-CN"/>
        </w:rPr>
        <w:t>设施应符合以下规定</w:t>
      </w:r>
      <w:r>
        <w:rPr>
          <w:rFonts w:hint="eastAsia" w:hAnsi="宋体" w:eastAsia="宋体" w:cs="宋体"/>
          <w:color w:val="auto"/>
        </w:rPr>
        <w:t>：</w:t>
      </w:r>
    </w:p>
    <w:p w14:paraId="1814B501">
      <w:pPr>
        <w:pStyle w:val="41"/>
        <w:numPr>
          <w:ilvl w:val="0"/>
          <w:numId w:val="47"/>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rPr>
        <w:t>调蓄池规模</w:t>
      </w:r>
      <w:r>
        <w:rPr>
          <w:rFonts w:hint="eastAsia" w:hAnsi="宋体" w:cs="宋体"/>
          <w:color w:val="auto"/>
          <w:szCs w:val="21"/>
          <w:lang w:val="en-US" w:eastAsia="zh-CN"/>
        </w:rPr>
        <w:t>以及池体</w:t>
      </w:r>
      <w:r>
        <w:rPr>
          <w:rFonts w:hint="eastAsia" w:hAnsi="宋体" w:cs="宋体"/>
          <w:color w:val="auto"/>
          <w:szCs w:val="21"/>
        </w:rPr>
        <w:t>设计应符合</w:t>
      </w:r>
      <w:r>
        <w:rPr>
          <w:rFonts w:hint="eastAsia" w:ascii="宋体" w:hAnsi="宋体" w:eastAsia="宋体" w:cs="宋体"/>
          <w:color w:val="auto"/>
          <w:szCs w:val="21"/>
          <w:lang w:eastAsia="zh-CN"/>
        </w:rPr>
        <w:t>GB 51174</w:t>
      </w:r>
      <w:r>
        <w:rPr>
          <w:rFonts w:hint="eastAsia" w:ascii="宋体" w:hAnsi="宋体" w:eastAsia="宋体" w:cs="宋体"/>
          <w:color w:val="auto"/>
          <w:szCs w:val="21"/>
        </w:rPr>
        <w:t>的</w:t>
      </w:r>
      <w:r>
        <w:rPr>
          <w:rFonts w:hint="eastAsia" w:hAnsi="宋体" w:cs="宋体"/>
          <w:color w:val="auto"/>
          <w:szCs w:val="21"/>
          <w:lang w:val="en-US" w:eastAsia="zh-CN"/>
        </w:rPr>
        <w:t>相关</w:t>
      </w:r>
      <w:r>
        <w:rPr>
          <w:rFonts w:hint="eastAsia" w:ascii="宋体" w:hAnsi="宋体" w:eastAsia="宋体" w:cs="宋体"/>
          <w:color w:val="auto"/>
          <w:szCs w:val="21"/>
        </w:rPr>
        <w:t>规</w:t>
      </w:r>
      <w:r>
        <w:rPr>
          <w:rFonts w:hint="eastAsia" w:hAnsi="宋体" w:cs="宋体"/>
          <w:color w:val="auto"/>
          <w:szCs w:val="21"/>
        </w:rPr>
        <w:t>定</w:t>
      </w:r>
      <w:r>
        <w:rPr>
          <w:rFonts w:hint="eastAsia" w:hAnsi="宋体" w:cs="宋体"/>
          <w:color w:val="auto"/>
          <w:szCs w:val="21"/>
          <w:lang w:eastAsia="zh-CN"/>
        </w:rPr>
        <w:t>；</w:t>
      </w:r>
    </w:p>
    <w:p w14:paraId="32C944B1">
      <w:pPr>
        <w:pStyle w:val="41"/>
        <w:numPr>
          <w:ilvl w:val="0"/>
          <w:numId w:val="47"/>
        </w:numPr>
        <w:tabs>
          <w:tab w:val="center" w:pos="4201"/>
          <w:tab w:val="right" w:leader="dot" w:pos="9298"/>
        </w:tabs>
        <w:ind w:left="726" w:leftChars="0" w:hanging="306" w:firstLineChars="0"/>
        <w:rPr>
          <w:rFonts w:hAnsi="宋体" w:cs="宋体"/>
          <w:color w:val="auto"/>
          <w:szCs w:val="21"/>
        </w:rPr>
      </w:pPr>
      <w:r>
        <w:rPr>
          <w:rFonts w:hint="eastAsia" w:ascii="宋体" w:hAnsi="宋体" w:eastAsia="宋体" w:cs="宋体"/>
          <w:color w:val="auto"/>
          <w:szCs w:val="21"/>
        </w:rPr>
        <w:t>调蓄设施应充分利用管涵调蓄能力，其功能依据所处位置确定。调蓄设施的设置应综合考虑设施维护、建设成本、用地条件等因素，调蓄设施宜与景观相结合</w:t>
      </w:r>
      <w:r>
        <w:rPr>
          <w:rFonts w:hint="eastAsia" w:hAnsi="宋体" w:cs="宋体"/>
          <w:color w:val="auto"/>
          <w:szCs w:val="21"/>
          <w:lang w:eastAsia="zh-CN"/>
        </w:rPr>
        <w:t>；</w:t>
      </w:r>
    </w:p>
    <w:p w14:paraId="38D9901D">
      <w:pPr>
        <w:pStyle w:val="41"/>
        <w:numPr>
          <w:ilvl w:val="0"/>
          <w:numId w:val="47"/>
        </w:numPr>
        <w:tabs>
          <w:tab w:val="center" w:pos="4201"/>
          <w:tab w:val="right" w:leader="dot" w:pos="9298"/>
        </w:tabs>
        <w:ind w:left="726" w:leftChars="0" w:hanging="306" w:firstLineChars="0"/>
        <w:rPr>
          <w:rFonts w:hAnsi="宋体" w:cs="宋体"/>
          <w:color w:val="auto"/>
          <w:szCs w:val="21"/>
        </w:rPr>
      </w:pPr>
      <w:r>
        <w:rPr>
          <w:rFonts w:hint="eastAsia" w:ascii="宋体" w:hAnsi="宋体" w:eastAsia="宋体" w:cs="宋体"/>
          <w:color w:val="auto"/>
          <w:szCs w:val="21"/>
        </w:rPr>
        <w:t>调蓄设施可采用加盖的灰色调蓄形式。周边环境允许、用地条件具备时也可采用敞开的绿色调蓄形式</w:t>
      </w:r>
      <w:r>
        <w:rPr>
          <w:rFonts w:hint="eastAsia" w:hAnsi="宋体" w:cs="宋体"/>
          <w:color w:val="auto"/>
          <w:szCs w:val="21"/>
          <w:lang w:eastAsia="zh-CN"/>
        </w:rPr>
        <w:t>；</w:t>
      </w:r>
    </w:p>
    <w:p w14:paraId="370B87C1">
      <w:pPr>
        <w:pStyle w:val="41"/>
        <w:numPr>
          <w:ilvl w:val="0"/>
          <w:numId w:val="47"/>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rPr>
        <w:t>调蓄池的位置和数量，应根据调蓄目的、排水体制、管网布置、溢流管下游水位高程和周围环境等综合考虑后确定。有条件的地区可采用数学模型进行方案设计和优化</w:t>
      </w:r>
      <w:r>
        <w:rPr>
          <w:rFonts w:hint="eastAsia" w:hAnsi="宋体" w:cs="宋体"/>
          <w:color w:val="auto"/>
          <w:szCs w:val="21"/>
          <w:lang w:eastAsia="zh-CN"/>
        </w:rPr>
        <w:t>；</w:t>
      </w:r>
    </w:p>
    <w:p w14:paraId="06E0AE33">
      <w:pPr>
        <w:pStyle w:val="41"/>
        <w:numPr>
          <w:ilvl w:val="0"/>
          <w:numId w:val="47"/>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rPr>
        <w:t>调蓄池的排空时间应根据下游排水管道或污水处理设施的受纳能力来确定，最大不能超过48h。敞开式绿色调蓄设施的腾空时间不宜超过24h</w:t>
      </w:r>
      <w:r>
        <w:rPr>
          <w:rFonts w:hint="eastAsia" w:hAnsi="宋体" w:cs="宋体"/>
          <w:color w:val="auto"/>
          <w:szCs w:val="21"/>
          <w:lang w:eastAsia="zh-CN"/>
        </w:rPr>
        <w:t>；</w:t>
      </w:r>
    </w:p>
    <w:p w14:paraId="629EF895">
      <w:pPr>
        <w:pStyle w:val="41"/>
        <w:numPr>
          <w:ilvl w:val="0"/>
          <w:numId w:val="47"/>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rPr>
        <w:t>调蓄池埋深宜根据上下游排水管道的埋深和调蓄池的类型，并综合工程用地等环境条件，通过技术经济比较后确定</w:t>
      </w:r>
      <w:r>
        <w:rPr>
          <w:rFonts w:hint="eastAsia" w:hAnsi="宋体" w:cs="宋体"/>
          <w:color w:val="auto"/>
          <w:szCs w:val="21"/>
          <w:lang w:eastAsia="zh-CN"/>
        </w:rPr>
        <w:t>；</w:t>
      </w:r>
    </w:p>
    <w:p w14:paraId="45088866">
      <w:pPr>
        <w:pStyle w:val="41"/>
        <w:numPr>
          <w:ilvl w:val="0"/>
          <w:numId w:val="47"/>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rPr>
        <w:t>地下式调蓄池应设硫化氢（H2S）、甲烷（CH4）浓度监测仪表和报警装置</w:t>
      </w:r>
      <w:r>
        <w:rPr>
          <w:rFonts w:hint="eastAsia" w:hAnsi="宋体" w:cs="宋体"/>
          <w:color w:val="auto"/>
          <w:szCs w:val="21"/>
          <w:lang w:eastAsia="zh-CN"/>
        </w:rPr>
        <w:t>；</w:t>
      </w:r>
    </w:p>
    <w:p w14:paraId="371346C6">
      <w:pPr>
        <w:pStyle w:val="41"/>
        <w:numPr>
          <w:ilvl w:val="0"/>
          <w:numId w:val="47"/>
        </w:numPr>
        <w:tabs>
          <w:tab w:val="center" w:pos="4201"/>
          <w:tab w:val="right" w:leader="dot" w:pos="9298"/>
        </w:tabs>
        <w:ind w:left="726" w:leftChars="0" w:hanging="306" w:firstLineChars="0"/>
        <w:rPr>
          <w:rFonts w:hAnsi="宋体" w:cs="宋体"/>
          <w:color w:val="auto"/>
          <w:szCs w:val="21"/>
        </w:rPr>
      </w:pPr>
      <w:r>
        <w:rPr>
          <w:rFonts w:hint="eastAsia" w:ascii="宋体" w:hAnsi="宋体" w:eastAsia="宋体" w:cs="宋体"/>
          <w:color w:val="auto"/>
          <w:szCs w:val="21"/>
        </w:rPr>
        <w:t>调蓄设施应具备</w:t>
      </w:r>
      <w:r>
        <w:rPr>
          <w:rFonts w:hint="eastAsia" w:ascii="宋体" w:hAnsi="宋体" w:eastAsia="宋体" w:cs="宋体"/>
          <w:color w:val="auto"/>
          <w:szCs w:val="21"/>
          <w:lang w:val="en-US" w:eastAsia="zh-CN"/>
        </w:rPr>
        <w:t>自动</w:t>
      </w:r>
      <w:r>
        <w:rPr>
          <w:rFonts w:hint="eastAsia" w:ascii="宋体" w:hAnsi="宋体" w:eastAsia="宋体" w:cs="宋体"/>
          <w:color w:val="auto"/>
          <w:szCs w:val="21"/>
        </w:rPr>
        <w:t>冲洗</w:t>
      </w:r>
      <w:r>
        <w:rPr>
          <w:rFonts w:hint="eastAsia" w:ascii="宋体" w:hAnsi="宋体" w:eastAsia="宋体" w:cs="宋体"/>
          <w:color w:val="auto"/>
          <w:szCs w:val="21"/>
          <w:lang w:val="en-US" w:eastAsia="zh-CN"/>
        </w:rPr>
        <w:t>设施以及</w:t>
      </w:r>
      <w:r>
        <w:rPr>
          <w:rFonts w:hint="eastAsia" w:ascii="宋体" w:hAnsi="宋体" w:eastAsia="宋体" w:cs="宋体"/>
          <w:color w:val="auto"/>
          <w:szCs w:val="21"/>
        </w:rPr>
        <w:t>清淤措施</w:t>
      </w:r>
      <w:r>
        <w:rPr>
          <w:rFonts w:hint="eastAsia" w:hAnsi="宋体" w:cs="宋体"/>
          <w:color w:val="auto"/>
          <w:szCs w:val="21"/>
          <w:lang w:eastAsia="zh-CN"/>
        </w:rPr>
        <w:t>；</w:t>
      </w:r>
    </w:p>
    <w:p w14:paraId="0B487627">
      <w:pPr>
        <w:pStyle w:val="41"/>
        <w:numPr>
          <w:ilvl w:val="0"/>
          <w:numId w:val="47"/>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rPr>
        <w:t>根据污水处理厂处理负荷及下游污水系统的收纳能力，调蓄池调蓄雨水的处理方式有以下几类</w:t>
      </w:r>
      <w:r>
        <w:rPr>
          <w:rFonts w:hint="eastAsia" w:hAnsi="宋体" w:cs="宋体"/>
          <w:color w:val="auto"/>
          <w:szCs w:val="21"/>
          <w:lang w:eastAsia="zh-CN"/>
        </w:rPr>
        <w:t>：</w:t>
      </w:r>
    </w:p>
    <w:p w14:paraId="42A8B692">
      <w:pPr>
        <w:pStyle w:val="41"/>
        <w:numPr>
          <w:ilvl w:val="0"/>
          <w:numId w:val="48"/>
        </w:numPr>
        <w:tabs>
          <w:tab w:val="center" w:pos="4201"/>
          <w:tab w:val="right" w:leader="dot" w:pos="9298"/>
        </w:tabs>
        <w:ind w:left="1147" w:leftChars="0" w:hanging="421" w:firstLineChars="0"/>
        <w:rPr>
          <w:rFonts w:hAnsi="宋体" w:cs="宋体"/>
          <w:color w:val="auto"/>
          <w:szCs w:val="21"/>
        </w:rPr>
      </w:pPr>
      <w:r>
        <w:rPr>
          <w:rFonts w:hint="eastAsia" w:hAnsi="宋体" w:cs="宋体"/>
          <w:color w:val="auto"/>
          <w:szCs w:val="21"/>
        </w:rPr>
        <w:t>调蓄池就地处理设施：位于雨水调蓄池附近，降雨后将雨水调蓄池储存的初期雨水输送至就地处理设施，处理达标后排入河道。</w:t>
      </w:r>
    </w:p>
    <w:p w14:paraId="289FBA53">
      <w:pPr>
        <w:pStyle w:val="41"/>
        <w:numPr>
          <w:ilvl w:val="0"/>
          <w:numId w:val="48"/>
        </w:numPr>
        <w:tabs>
          <w:tab w:val="center" w:pos="4201"/>
          <w:tab w:val="right" w:leader="dot" w:pos="9298"/>
        </w:tabs>
        <w:ind w:left="1147" w:leftChars="0" w:hanging="421" w:firstLineChars="0"/>
        <w:rPr>
          <w:rFonts w:hAnsi="宋体" w:cs="宋体"/>
          <w:color w:val="auto"/>
          <w:szCs w:val="21"/>
        </w:rPr>
      </w:pPr>
      <w:r>
        <w:rPr>
          <w:rFonts w:hint="eastAsia" w:hAnsi="宋体" w:cs="宋体"/>
          <w:color w:val="auto"/>
          <w:szCs w:val="21"/>
        </w:rPr>
        <w:t xml:space="preserve">集中处理设施：在用地紧张的地区，可以统筹考虑多个调蓄池的处理需求，建设集中式的初期雨水处理设施。 </w:t>
      </w:r>
    </w:p>
    <w:p w14:paraId="605F6384">
      <w:pPr>
        <w:pStyle w:val="41"/>
        <w:numPr>
          <w:ilvl w:val="0"/>
          <w:numId w:val="48"/>
        </w:numPr>
        <w:tabs>
          <w:tab w:val="center" w:pos="4201"/>
          <w:tab w:val="right" w:leader="dot" w:pos="9298"/>
        </w:tabs>
        <w:ind w:left="1147" w:leftChars="0" w:hanging="421" w:firstLineChars="0"/>
        <w:rPr>
          <w:rFonts w:hAnsi="宋体" w:cs="宋体"/>
          <w:color w:val="auto"/>
          <w:szCs w:val="21"/>
        </w:rPr>
      </w:pPr>
      <w:r>
        <w:rPr>
          <w:rFonts w:hint="eastAsia" w:hAnsi="宋体" w:cs="宋体"/>
          <w:color w:val="auto"/>
          <w:szCs w:val="21"/>
        </w:rPr>
        <w:t>末端污水处理设施：在末端污水处理厂有富余处理能力时，可以将初期雨水输送至末端污水处理厂进行处理。</w:t>
      </w:r>
    </w:p>
    <w:p w14:paraId="729BCC26">
      <w:pPr>
        <w:pStyle w:val="114"/>
        <w:spacing w:before="312" w:after="312"/>
        <w:ind w:left="0"/>
        <w:jc w:val="left"/>
        <w:rPr>
          <w:rFonts w:hAnsi="黑体" w:cs="黑体"/>
          <w:color w:val="auto"/>
          <w:szCs w:val="21"/>
        </w:rPr>
      </w:pPr>
      <w:bookmarkStart w:id="133" w:name="_Toc23481"/>
      <w:r>
        <w:rPr>
          <w:rFonts w:hint="eastAsia" w:hAnsi="黑体" w:cs="黑体"/>
          <w:color w:val="auto"/>
          <w:szCs w:val="21"/>
          <w:lang w:val="en-US" w:eastAsia="zh-CN"/>
        </w:rPr>
        <w:t>排水管网数字化工程</w:t>
      </w:r>
      <w:bookmarkEnd w:id="133"/>
    </w:p>
    <w:p w14:paraId="7C09A78B">
      <w:pPr>
        <w:pStyle w:val="40"/>
        <w:spacing w:before="156" w:after="156"/>
        <w:rPr>
          <w:color w:val="auto"/>
        </w:rPr>
      </w:pPr>
      <w:r>
        <w:rPr>
          <w:rFonts w:hint="eastAsia"/>
          <w:color w:val="auto"/>
          <w:lang w:val="en-US" w:eastAsia="zh-CN"/>
        </w:rPr>
        <w:t>6</w:t>
      </w:r>
      <w:r>
        <w:rPr>
          <w:rFonts w:hint="eastAsia"/>
          <w:color w:val="auto"/>
        </w:rPr>
        <w:t>.1 一般规定</w:t>
      </w:r>
    </w:p>
    <w:p w14:paraId="313BDF55">
      <w:pPr>
        <w:pStyle w:val="41"/>
        <w:ind w:left="0" w:leftChars="0" w:firstLine="0" w:firstLineChars="0"/>
        <w:rPr>
          <w:rFonts w:hint="eastAsia" w:hAnsi="宋体" w:eastAsia="宋体" w:cs="宋体"/>
          <w:color w:val="auto"/>
        </w:rPr>
      </w:pPr>
      <w:r>
        <w:rPr>
          <w:rFonts w:hint="eastAsia" w:hAnsi="宋体" w:eastAsia="宋体" w:cs="宋体"/>
          <w:color w:val="auto"/>
          <w:lang w:val="en-US" w:eastAsia="zh-CN"/>
        </w:rPr>
        <w:t>6</w:t>
      </w:r>
      <w:r>
        <w:rPr>
          <w:rFonts w:hint="eastAsia" w:hAnsi="宋体" w:eastAsia="宋体" w:cs="宋体"/>
          <w:color w:val="auto"/>
        </w:rPr>
        <w:t xml:space="preserve">.1.1 </w:t>
      </w:r>
      <w:r>
        <w:rPr>
          <w:rFonts w:hint="eastAsia" w:hAnsi="宋体" w:eastAsia="宋体" w:cs="宋体"/>
          <w:color w:val="auto"/>
          <w:lang w:val="en-US" w:eastAsia="zh-CN"/>
        </w:rPr>
        <w:t>排水管网数字化应采集管理排水管网设施数据，主要包括排水管网普查数据、排水设施数据、排水管网检测与评估数据、排水业务管理数据和动态感知数据等</w:t>
      </w:r>
      <w:r>
        <w:rPr>
          <w:rFonts w:hint="eastAsia" w:hAnsi="宋体" w:eastAsia="宋体" w:cs="宋体"/>
          <w:color w:val="auto"/>
        </w:rPr>
        <w:t>。</w:t>
      </w:r>
    </w:p>
    <w:p w14:paraId="57C064B2">
      <w:pPr>
        <w:pStyle w:val="41"/>
        <w:numPr>
          <w:ilvl w:val="0"/>
          <w:numId w:val="49"/>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lang w:val="en-US" w:eastAsia="zh-CN"/>
        </w:rPr>
        <w:t>排水管网普查数据包括：地形图数据、管网图数据和城市信息模型CIM数据等；</w:t>
      </w:r>
    </w:p>
    <w:p w14:paraId="6A581321">
      <w:pPr>
        <w:pStyle w:val="41"/>
        <w:numPr>
          <w:ilvl w:val="0"/>
          <w:numId w:val="49"/>
        </w:numPr>
        <w:tabs>
          <w:tab w:val="center" w:pos="4201"/>
          <w:tab w:val="right" w:leader="dot" w:pos="9298"/>
        </w:tabs>
        <w:ind w:left="726" w:leftChars="0" w:hanging="306" w:firstLineChars="0"/>
        <w:rPr>
          <w:rFonts w:hAnsi="宋体" w:cs="宋体"/>
          <w:color w:val="auto"/>
          <w:szCs w:val="21"/>
        </w:rPr>
      </w:pPr>
      <w:r>
        <w:rPr>
          <w:rFonts w:hint="eastAsia" w:hAnsi="宋体" w:eastAsia="宋体" w:cs="宋体"/>
          <w:color w:val="auto"/>
          <w:lang w:val="en-US" w:eastAsia="zh-CN"/>
        </w:rPr>
        <w:t>排水设施数据</w:t>
      </w:r>
      <w:r>
        <w:rPr>
          <w:rFonts w:hint="eastAsia" w:hAnsi="宋体" w:cs="宋体"/>
          <w:color w:val="auto"/>
          <w:lang w:val="en-US" w:eastAsia="zh-CN"/>
        </w:rPr>
        <w:t>包括：通用性数据、基础信息数据和扩展数据等；</w:t>
      </w:r>
    </w:p>
    <w:p w14:paraId="14D1AD7C">
      <w:pPr>
        <w:pStyle w:val="41"/>
        <w:numPr>
          <w:ilvl w:val="0"/>
          <w:numId w:val="49"/>
        </w:numPr>
        <w:tabs>
          <w:tab w:val="center" w:pos="4201"/>
          <w:tab w:val="right" w:leader="dot" w:pos="9298"/>
        </w:tabs>
        <w:ind w:left="726" w:leftChars="0" w:hanging="306" w:firstLineChars="0"/>
        <w:rPr>
          <w:rFonts w:hAnsi="宋体" w:cs="宋体"/>
          <w:color w:val="auto"/>
          <w:szCs w:val="21"/>
        </w:rPr>
      </w:pPr>
      <w:r>
        <w:rPr>
          <w:rFonts w:hint="eastAsia" w:hAnsi="宋体" w:eastAsia="宋体" w:cs="宋体"/>
          <w:color w:val="auto"/>
          <w:lang w:val="en-US" w:eastAsia="zh-CN"/>
        </w:rPr>
        <w:t>排水管网检测与评估数据</w:t>
      </w:r>
      <w:r>
        <w:rPr>
          <w:rFonts w:hint="eastAsia" w:hAnsi="宋体" w:cs="宋体"/>
          <w:color w:val="auto"/>
          <w:lang w:val="en-US" w:eastAsia="zh-CN"/>
        </w:rPr>
        <w:t>包括：检测结果数据、影像数据和评估数据；</w:t>
      </w:r>
    </w:p>
    <w:p w14:paraId="362C41FE">
      <w:pPr>
        <w:pStyle w:val="41"/>
        <w:numPr>
          <w:ilvl w:val="0"/>
          <w:numId w:val="49"/>
        </w:numPr>
        <w:tabs>
          <w:tab w:val="center" w:pos="4201"/>
          <w:tab w:val="right" w:leader="dot" w:pos="9298"/>
        </w:tabs>
        <w:ind w:left="726" w:leftChars="0" w:hanging="306" w:firstLineChars="0"/>
        <w:rPr>
          <w:rFonts w:hint="default" w:hAnsi="宋体" w:eastAsia="宋体" w:cs="宋体"/>
          <w:color w:val="auto"/>
          <w:lang w:val="en-US" w:eastAsia="zh-CN"/>
        </w:rPr>
      </w:pPr>
      <w:r>
        <w:rPr>
          <w:rFonts w:hint="eastAsia" w:hAnsi="宋体" w:eastAsia="宋体" w:cs="宋体"/>
          <w:color w:val="auto"/>
          <w:lang w:val="en-US" w:eastAsia="zh-CN"/>
        </w:rPr>
        <w:t>排水业务管理数据</w:t>
      </w:r>
      <w:r>
        <w:rPr>
          <w:rFonts w:hint="eastAsia" w:hAnsi="宋体" w:cs="宋体"/>
          <w:color w:val="auto"/>
          <w:lang w:val="en-US" w:eastAsia="zh-CN"/>
        </w:rPr>
        <w:t>包括：管网运行状态信息数据、预警诊断分析信息数据、管线运维数据和应急抢险数据等。</w:t>
      </w:r>
    </w:p>
    <w:p w14:paraId="0825B490">
      <w:pPr>
        <w:pStyle w:val="41"/>
        <w:numPr>
          <w:ilvl w:val="0"/>
          <w:numId w:val="49"/>
        </w:numPr>
        <w:tabs>
          <w:tab w:val="center" w:pos="4201"/>
          <w:tab w:val="right" w:leader="dot" w:pos="9298"/>
        </w:tabs>
        <w:ind w:left="726" w:leftChars="0" w:hanging="306" w:firstLineChars="0"/>
        <w:rPr>
          <w:rFonts w:hint="default" w:hAnsi="宋体" w:eastAsia="宋体" w:cs="宋体"/>
          <w:color w:val="auto"/>
          <w:lang w:val="en-US" w:eastAsia="zh-CN"/>
        </w:rPr>
      </w:pPr>
      <w:r>
        <w:rPr>
          <w:rFonts w:hint="eastAsia" w:hAnsi="宋体" w:eastAsia="宋体" w:cs="宋体"/>
          <w:color w:val="auto"/>
          <w:lang w:val="en-US" w:eastAsia="zh-CN"/>
        </w:rPr>
        <w:t>动态感知数据</w:t>
      </w:r>
      <w:r>
        <w:rPr>
          <w:rFonts w:hint="eastAsia" w:hAnsi="宋体" w:cs="宋体"/>
          <w:color w:val="auto"/>
          <w:lang w:val="en-US" w:eastAsia="zh-CN"/>
        </w:rPr>
        <w:t>主要包括管网设施上各类传感器实时获取的监测数据；</w:t>
      </w:r>
    </w:p>
    <w:p w14:paraId="0A104DA0">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6.1.</w:t>
      </w:r>
      <w:r>
        <w:rPr>
          <w:rFonts w:hint="eastAsia" w:hAnsi="宋体" w:cs="宋体"/>
          <w:color w:val="auto"/>
          <w:lang w:val="en-US" w:eastAsia="zh-CN"/>
        </w:rPr>
        <w:t>2</w:t>
      </w:r>
      <w:r>
        <w:rPr>
          <w:rFonts w:hint="eastAsia" w:hAnsi="宋体" w:eastAsia="宋体" w:cs="宋体"/>
          <w:color w:val="auto"/>
          <w:lang w:val="en-US" w:eastAsia="zh-CN"/>
        </w:rPr>
        <w:t xml:space="preserve"> 排水管网数据应定</w:t>
      </w:r>
      <w:r>
        <w:rPr>
          <w:rFonts w:hint="eastAsia" w:hAnsi="宋体" w:cs="宋体"/>
          <w:color w:val="auto"/>
          <w:lang w:val="en-US" w:eastAsia="zh-CN"/>
        </w:rPr>
        <w:t>定期</w:t>
      </w:r>
      <w:r>
        <w:rPr>
          <w:rFonts w:hint="eastAsia" w:hAnsi="宋体" w:eastAsia="宋体" w:cs="宋体"/>
          <w:color w:val="auto"/>
          <w:lang w:val="en-US" w:eastAsia="zh-CN"/>
        </w:rPr>
        <w:t>更新维护，变化数据更新周期应不</w:t>
      </w:r>
      <w:r>
        <w:rPr>
          <w:rFonts w:hint="eastAsia" w:hAnsi="宋体" w:cs="宋体"/>
          <w:color w:val="auto"/>
          <w:lang w:val="en-US" w:eastAsia="zh-CN"/>
        </w:rPr>
        <w:t>超过</w:t>
      </w:r>
      <w:r>
        <w:rPr>
          <w:rFonts w:hint="eastAsia" w:hAnsi="宋体" w:eastAsia="宋体" w:cs="宋体"/>
          <w:color w:val="auto"/>
          <w:lang w:val="en-US" w:eastAsia="zh-CN"/>
        </w:rPr>
        <w:t>1个月</w:t>
      </w:r>
      <w:r>
        <w:rPr>
          <w:rFonts w:hint="eastAsia" w:hAnsi="宋体" w:cs="宋体"/>
          <w:color w:val="auto"/>
          <w:lang w:val="en-US" w:eastAsia="zh-CN"/>
        </w:rPr>
        <w:t>，以保证数据的实时性和有效性</w:t>
      </w:r>
      <w:r>
        <w:rPr>
          <w:rFonts w:hint="eastAsia" w:hAnsi="宋体" w:eastAsia="宋体" w:cs="宋体"/>
          <w:color w:val="auto"/>
          <w:lang w:val="en-US" w:eastAsia="zh-CN"/>
        </w:rPr>
        <w:t>。</w:t>
      </w:r>
    </w:p>
    <w:p w14:paraId="461745F0">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w:t>
      </w:r>
      <w:r>
        <w:rPr>
          <w:rFonts w:hint="eastAsia" w:hAnsi="宋体" w:cs="宋体"/>
          <w:color w:val="auto"/>
          <w:lang w:val="en-US" w:eastAsia="zh-CN"/>
        </w:rPr>
        <w:t>1</w:t>
      </w:r>
      <w:r>
        <w:rPr>
          <w:rFonts w:hint="eastAsia" w:hAnsi="宋体" w:eastAsia="宋体" w:cs="宋体"/>
          <w:color w:val="auto"/>
          <w:lang w:val="en-US" w:eastAsia="zh-CN"/>
        </w:rPr>
        <w:t>.</w:t>
      </w:r>
      <w:r>
        <w:rPr>
          <w:rFonts w:hint="eastAsia" w:hAnsi="宋体" w:cs="宋体"/>
          <w:color w:val="auto"/>
          <w:lang w:val="en-US" w:eastAsia="zh-CN"/>
        </w:rPr>
        <w:t>3</w:t>
      </w:r>
      <w:r>
        <w:rPr>
          <w:rFonts w:hint="eastAsia" w:hAnsi="宋体" w:eastAsia="宋体" w:cs="宋体"/>
          <w:color w:val="auto"/>
          <w:lang w:val="en-US" w:eastAsia="zh-CN"/>
        </w:rPr>
        <w:t xml:space="preserve"> 动态感知主要以物联网技术为核心，通过水量感知、水质感知、设施感知和图像感知等方式，实现对排水管网设施、设备等信息的采集和监测。</w:t>
      </w:r>
    </w:p>
    <w:p w14:paraId="449611B8">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w:t>
      </w:r>
      <w:r>
        <w:rPr>
          <w:rFonts w:hint="eastAsia" w:hAnsi="宋体" w:cs="宋体"/>
          <w:color w:val="auto"/>
          <w:lang w:val="en-US" w:eastAsia="zh-CN"/>
        </w:rPr>
        <w:t>1</w:t>
      </w:r>
      <w:r>
        <w:rPr>
          <w:rFonts w:hint="eastAsia" w:hAnsi="宋体" w:eastAsia="宋体" w:cs="宋体"/>
          <w:color w:val="auto"/>
          <w:lang w:val="en-US" w:eastAsia="zh-CN"/>
        </w:rPr>
        <w:t>.</w:t>
      </w:r>
      <w:r>
        <w:rPr>
          <w:rFonts w:hint="eastAsia" w:hAnsi="宋体" w:cs="宋体"/>
          <w:color w:val="auto"/>
          <w:lang w:val="en-US" w:eastAsia="zh-CN"/>
        </w:rPr>
        <w:t>4</w:t>
      </w:r>
      <w:r>
        <w:rPr>
          <w:rFonts w:hint="eastAsia" w:hAnsi="宋体" w:eastAsia="宋体" w:cs="宋体"/>
          <w:color w:val="auto"/>
          <w:lang w:val="en-US" w:eastAsia="zh-CN"/>
        </w:rPr>
        <w:t xml:space="preserve"> 动态感知设备的建设应符合行业标准CJ/T 252的相关规定。</w:t>
      </w:r>
    </w:p>
    <w:p w14:paraId="28819E5C">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w:t>
      </w:r>
      <w:r>
        <w:rPr>
          <w:rFonts w:hint="eastAsia" w:hAnsi="宋体" w:cs="宋体"/>
          <w:color w:val="auto"/>
          <w:lang w:val="en-US" w:eastAsia="zh-CN"/>
        </w:rPr>
        <w:t>1</w:t>
      </w:r>
      <w:r>
        <w:rPr>
          <w:rFonts w:hint="eastAsia" w:hAnsi="宋体" w:eastAsia="宋体" w:cs="宋体"/>
          <w:color w:val="auto"/>
          <w:lang w:val="en-US" w:eastAsia="zh-CN"/>
        </w:rPr>
        <w:t>.</w:t>
      </w:r>
      <w:r>
        <w:rPr>
          <w:rFonts w:hint="eastAsia" w:hAnsi="宋体" w:cs="宋体"/>
          <w:color w:val="auto"/>
          <w:lang w:val="en-US" w:eastAsia="zh-CN"/>
        </w:rPr>
        <w:t>5</w:t>
      </w:r>
      <w:r>
        <w:rPr>
          <w:rFonts w:hint="eastAsia" w:hAnsi="宋体" w:eastAsia="宋体" w:cs="宋体"/>
          <w:color w:val="auto"/>
          <w:lang w:val="en-US" w:eastAsia="zh-CN"/>
        </w:rPr>
        <w:t xml:space="preserve"> 动态感知设备选择应按照经</w:t>
      </w:r>
      <w:r>
        <w:rPr>
          <w:rFonts w:hint="eastAsia" w:ascii="宋体" w:hAnsi="宋体" w:eastAsia="宋体" w:cs="宋体"/>
          <w:color w:val="auto"/>
          <w:lang w:val="en-US" w:eastAsia="zh-CN"/>
        </w:rPr>
        <w:t>济、适用、可靠的原则，</w:t>
      </w:r>
      <w:r>
        <w:rPr>
          <w:rFonts w:hint="eastAsia" w:hAnsi="宋体" w:eastAsia="宋体" w:cs="宋体"/>
          <w:color w:val="auto"/>
          <w:lang w:val="en-US" w:eastAsia="zh-CN"/>
        </w:rPr>
        <w:t>设备应满足防尘、防水、防爆、防腐等技术要求。</w:t>
      </w:r>
    </w:p>
    <w:p w14:paraId="3BF6217A">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w:t>
      </w:r>
      <w:r>
        <w:rPr>
          <w:rFonts w:hint="eastAsia" w:hAnsi="宋体" w:cs="宋体"/>
          <w:color w:val="auto"/>
          <w:lang w:val="en-US" w:eastAsia="zh-CN"/>
        </w:rPr>
        <w:t>1</w:t>
      </w:r>
      <w:r>
        <w:rPr>
          <w:rFonts w:hint="eastAsia" w:hAnsi="宋体" w:eastAsia="宋体" w:cs="宋体"/>
          <w:color w:val="auto"/>
          <w:lang w:val="en-US" w:eastAsia="zh-CN"/>
        </w:rPr>
        <w:t>.6 动态监测对象主要包括降雨量监测、管线运行监测、重要设施运行监测、易涝点监测和井盖状态监测。</w:t>
      </w:r>
    </w:p>
    <w:p w14:paraId="70E770D7">
      <w:pPr>
        <w:pStyle w:val="40"/>
        <w:spacing w:before="156" w:after="156"/>
        <w:rPr>
          <w:rFonts w:hint="eastAsia"/>
          <w:color w:val="auto"/>
          <w:lang w:val="en-US" w:eastAsia="zh-CN"/>
        </w:rPr>
      </w:pPr>
      <w:r>
        <w:rPr>
          <w:rFonts w:hint="eastAsia"/>
          <w:color w:val="auto"/>
          <w:lang w:val="en-US" w:eastAsia="zh-CN"/>
        </w:rPr>
        <w:t>6.2 降雨量监测</w:t>
      </w:r>
    </w:p>
    <w:p w14:paraId="22D545F1">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6.2.1 降雨量监测主要测记降雨、降雪、降雹的水量。宜优先利用当地气象部门或水利部门的雨量监测数据。</w:t>
      </w:r>
    </w:p>
    <w:p w14:paraId="5D32ED35">
      <w:pPr>
        <w:pStyle w:val="41"/>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6.2.2 雨量新建</w:t>
      </w:r>
      <w:r>
        <w:rPr>
          <w:rFonts w:hint="default" w:ascii="宋体" w:hAnsi="宋体" w:eastAsia="宋体" w:cs="宋体"/>
          <w:color w:val="auto"/>
          <w:lang w:val="en-US" w:eastAsia="zh-CN"/>
        </w:rPr>
        <w:t>监测站点选址应规避高大建筑物、树木遮挡</w:t>
      </w:r>
      <w:r>
        <w:rPr>
          <w:rFonts w:hint="eastAsia" w:ascii="宋体" w:hAnsi="宋体" w:eastAsia="宋体" w:cs="宋体"/>
          <w:color w:val="auto"/>
          <w:lang w:val="en-US" w:eastAsia="zh-CN"/>
        </w:rPr>
        <w:t>。</w:t>
      </w:r>
    </w:p>
    <w:p w14:paraId="629E2DC7">
      <w:pPr>
        <w:pStyle w:val="41"/>
        <w:ind w:left="0" w:leftChars="0" w:firstLine="0" w:firstLineChars="0"/>
        <w:rPr>
          <w:rFonts w:hint="eastAsia" w:ascii="Segoe UI" w:hAnsi="Segoe UI" w:eastAsia="宋体" w:cs="Segoe UI"/>
          <w:i w:val="0"/>
          <w:iCs w:val="0"/>
          <w:caps w:val="0"/>
          <w:color w:val="auto"/>
          <w:spacing w:val="0"/>
          <w:sz w:val="21"/>
          <w:szCs w:val="21"/>
          <w:shd w:val="clear" w:fill="FFFFFF"/>
          <w:lang w:eastAsia="zh-CN"/>
        </w:rPr>
      </w:pPr>
      <w:r>
        <w:rPr>
          <w:rFonts w:hint="eastAsia" w:ascii="宋体" w:hAnsi="宋体" w:eastAsia="宋体" w:cs="宋体"/>
          <w:color w:val="auto"/>
          <w:lang w:val="en-US" w:eastAsia="zh-CN"/>
        </w:rPr>
        <w:t xml:space="preserve">6.2.3 </w:t>
      </w:r>
      <w:r>
        <w:rPr>
          <w:rFonts w:hint="eastAsia" w:hAnsi="宋体" w:cs="宋体"/>
          <w:color w:val="auto"/>
          <w:lang w:val="en-US" w:eastAsia="zh-CN"/>
        </w:rPr>
        <w:t>雨量传感器宜选用便于实现自动监测的翻斗式雨量计，</w:t>
      </w:r>
      <w:r>
        <w:rPr>
          <w:rFonts w:hint="eastAsia" w:ascii="宋体" w:hAnsi="宋体" w:eastAsia="宋体" w:cs="宋体"/>
          <w:color w:val="auto"/>
          <w:lang w:val="en-US" w:eastAsia="zh-CN"/>
        </w:rPr>
        <w:t>精度应达到0.1mm以上，</w:t>
      </w:r>
      <w:r>
        <w:rPr>
          <w:rFonts w:ascii="Segoe UI" w:hAnsi="Segoe UI" w:eastAsia="Segoe UI" w:cs="Segoe UI"/>
          <w:i w:val="0"/>
          <w:iCs w:val="0"/>
          <w:caps w:val="0"/>
          <w:color w:val="auto"/>
          <w:spacing w:val="0"/>
          <w:sz w:val="21"/>
          <w:szCs w:val="21"/>
          <w:shd w:val="clear" w:fill="FFFFFF"/>
        </w:rPr>
        <w:t>设备需每年进行一次现场校准</w:t>
      </w:r>
      <w:r>
        <w:rPr>
          <w:rFonts w:hint="eastAsia" w:ascii="Segoe UI" w:hAnsi="Segoe UI" w:eastAsia="宋体" w:cs="Segoe UI"/>
          <w:i w:val="0"/>
          <w:iCs w:val="0"/>
          <w:caps w:val="0"/>
          <w:color w:val="auto"/>
          <w:spacing w:val="0"/>
          <w:sz w:val="21"/>
          <w:szCs w:val="21"/>
          <w:shd w:val="clear" w:fill="FFFFFF"/>
          <w:lang w:eastAsia="zh-CN"/>
        </w:rPr>
        <w:t>。</w:t>
      </w:r>
    </w:p>
    <w:p w14:paraId="23CF50CF">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6.2.</w:t>
      </w:r>
      <w:r>
        <w:rPr>
          <w:rFonts w:hint="eastAsia" w:hAnsi="宋体" w:cs="宋体"/>
          <w:color w:val="auto"/>
          <w:lang w:val="en-US" w:eastAsia="zh-CN"/>
        </w:rPr>
        <w:t>4</w:t>
      </w:r>
      <w:r>
        <w:rPr>
          <w:rFonts w:hint="eastAsia" w:hAnsi="宋体" w:eastAsia="宋体" w:cs="宋体"/>
          <w:color w:val="auto"/>
          <w:lang w:val="en-US" w:eastAsia="zh-CN"/>
        </w:rPr>
        <w:t xml:space="preserve"> 考虑到</w:t>
      </w:r>
      <w:r>
        <w:rPr>
          <w:rFonts w:ascii="Segoe UI" w:hAnsi="Segoe UI" w:eastAsia="Segoe UI" w:cs="Segoe UI"/>
          <w:i w:val="0"/>
          <w:iCs w:val="0"/>
          <w:caps w:val="0"/>
          <w:color w:val="auto"/>
          <w:spacing w:val="0"/>
          <w:sz w:val="21"/>
          <w:szCs w:val="21"/>
          <w:shd w:val="clear" w:fill="FFFFFF"/>
        </w:rPr>
        <w:t>降水时空分布差异化</w:t>
      </w:r>
      <w:r>
        <w:rPr>
          <w:rFonts w:hint="eastAsia" w:hAnsi="宋体" w:eastAsia="宋体" w:cs="宋体"/>
          <w:color w:val="auto"/>
          <w:lang w:val="en-US" w:eastAsia="zh-CN"/>
        </w:rPr>
        <w:t>，雨量监测站点密度不宜大于</w:t>
      </w:r>
      <w:r>
        <w:rPr>
          <w:rFonts w:hint="eastAsia" w:hAnsi="宋体" w:cs="宋体"/>
          <w:color w:val="auto"/>
          <w:lang w:val="en-US" w:eastAsia="zh-CN"/>
        </w:rPr>
        <w:t>2</w:t>
      </w:r>
      <w:r>
        <w:rPr>
          <w:rFonts w:hint="eastAsia" w:hAnsi="宋体" w:eastAsia="宋体" w:cs="宋体"/>
          <w:color w:val="auto"/>
          <w:lang w:val="en-US" w:eastAsia="zh-CN"/>
        </w:rPr>
        <w:t>km</w:t>
      </w:r>
      <w:r>
        <w:rPr>
          <w:rFonts w:hint="eastAsia" w:hAnsi="宋体" w:cs="宋体"/>
          <w:color w:val="auto"/>
          <w:lang w:val="en-US" w:eastAsia="zh-CN"/>
        </w:rPr>
        <w:t>×2</w:t>
      </w:r>
      <w:r>
        <w:rPr>
          <w:rFonts w:hint="eastAsia" w:hAnsi="宋体" w:eastAsia="宋体" w:cs="宋体"/>
          <w:color w:val="auto"/>
          <w:lang w:val="en-US" w:eastAsia="zh-CN"/>
        </w:rPr>
        <w:t>km。</w:t>
      </w:r>
    </w:p>
    <w:p w14:paraId="7607104D">
      <w:pPr>
        <w:pStyle w:val="40"/>
        <w:spacing w:before="156" w:after="156"/>
        <w:rPr>
          <w:rFonts w:hint="eastAsia"/>
          <w:color w:val="auto"/>
          <w:lang w:val="en-US" w:eastAsia="zh-CN"/>
        </w:rPr>
      </w:pPr>
      <w:r>
        <w:rPr>
          <w:rFonts w:hint="eastAsia"/>
          <w:color w:val="auto"/>
          <w:lang w:val="en-US" w:eastAsia="zh-CN"/>
        </w:rPr>
        <w:t>6.3 排水管线运行监测</w:t>
      </w:r>
    </w:p>
    <w:p w14:paraId="7C427B7F">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 xml:space="preserve">6.3.1 </w:t>
      </w:r>
      <w:r>
        <w:rPr>
          <w:rFonts w:hint="eastAsia" w:hAnsi="宋体" w:cs="宋体"/>
          <w:color w:val="auto"/>
          <w:lang w:val="en-US" w:eastAsia="zh-CN"/>
        </w:rPr>
        <w:t>排水</w:t>
      </w:r>
      <w:r>
        <w:rPr>
          <w:rFonts w:hint="eastAsia" w:hAnsi="宋体" w:eastAsia="宋体" w:cs="宋体"/>
          <w:color w:val="auto"/>
          <w:lang w:val="en-US" w:eastAsia="zh-CN"/>
        </w:rPr>
        <w:t>管线监测布点应遵循系统性、代表性、覆盖性、经济型、可行性的基本原则。</w:t>
      </w:r>
    </w:p>
    <w:p w14:paraId="7703977F">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6.3.2 监测点位的布设应符合下列规定：</w:t>
      </w:r>
    </w:p>
    <w:p w14:paraId="2493A6ED">
      <w:pPr>
        <w:pStyle w:val="41"/>
        <w:numPr>
          <w:ilvl w:val="0"/>
          <w:numId w:val="50"/>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lang w:val="en-US" w:eastAsia="zh-CN"/>
        </w:rPr>
        <w:t>监测布点的服务范围应清晰明确；</w:t>
      </w:r>
    </w:p>
    <w:p w14:paraId="6A05EA19">
      <w:pPr>
        <w:pStyle w:val="41"/>
        <w:numPr>
          <w:ilvl w:val="0"/>
          <w:numId w:val="50"/>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lang w:val="en-US" w:eastAsia="zh-CN"/>
        </w:rPr>
        <w:t>监测点位应具备安装维护条件；</w:t>
      </w:r>
    </w:p>
    <w:p w14:paraId="0481DF50">
      <w:pPr>
        <w:pStyle w:val="41"/>
        <w:numPr>
          <w:ilvl w:val="0"/>
          <w:numId w:val="50"/>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lang w:val="en-US" w:eastAsia="zh-CN"/>
        </w:rPr>
        <w:t>应统筹已有的监测点位，不应重复建设。</w:t>
      </w:r>
    </w:p>
    <w:p w14:paraId="1273B235">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6.3.</w:t>
      </w:r>
      <w:r>
        <w:rPr>
          <w:rFonts w:hint="eastAsia" w:hAnsi="宋体" w:cs="宋体"/>
          <w:color w:val="auto"/>
          <w:lang w:val="en-US" w:eastAsia="zh-CN"/>
        </w:rPr>
        <w:t>3</w:t>
      </w:r>
      <w:r>
        <w:rPr>
          <w:rFonts w:hint="eastAsia" w:hAnsi="宋体" w:eastAsia="宋体" w:cs="宋体"/>
          <w:color w:val="auto"/>
          <w:lang w:val="en-US" w:eastAsia="zh-CN"/>
        </w:rPr>
        <w:t xml:space="preserve"> </w:t>
      </w:r>
      <w:r>
        <w:rPr>
          <w:rFonts w:hint="eastAsia" w:hAnsi="宋体" w:cs="宋体"/>
          <w:color w:val="auto"/>
          <w:lang w:val="en-US" w:eastAsia="zh-CN"/>
        </w:rPr>
        <w:t>排水</w:t>
      </w:r>
      <w:r>
        <w:rPr>
          <w:rFonts w:hint="eastAsia" w:hAnsi="宋体" w:eastAsia="宋体" w:cs="宋体"/>
          <w:color w:val="auto"/>
          <w:lang w:val="en-US" w:eastAsia="zh-CN"/>
        </w:rPr>
        <w:t>管线监测布点应按照排口、管网关键节点、排水户的顺序开展。相应的监测指标应符合表</w:t>
      </w:r>
      <w:r>
        <w:rPr>
          <w:rFonts w:hint="eastAsia" w:hAnsi="宋体" w:cs="宋体"/>
          <w:color w:val="auto"/>
          <w:lang w:val="en-US" w:eastAsia="zh-CN"/>
        </w:rPr>
        <w:t>1</w:t>
      </w:r>
      <w:r>
        <w:rPr>
          <w:rFonts w:hint="eastAsia" w:hAnsi="宋体" w:eastAsia="宋体" w:cs="宋体"/>
          <w:color w:val="auto"/>
          <w:lang w:val="en-US" w:eastAsia="zh-CN"/>
        </w:rPr>
        <w:t>的规定。</w:t>
      </w:r>
    </w:p>
    <w:p w14:paraId="05AD5392">
      <w:pPr>
        <w:pStyle w:val="241"/>
        <w:numPr>
          <w:ilvl w:val="2"/>
          <w:numId w:val="0"/>
        </w:numPr>
        <w:spacing w:before="156" w:after="156"/>
        <w:ind w:left="-10"/>
        <w:jc w:val="center"/>
        <w:outlineLvl w:val="9"/>
        <w:rPr>
          <w:rFonts w:hint="eastAsia" w:ascii="黑体" w:hAnsi="黑体" w:eastAsia="黑体" w:cs="黑体"/>
          <w:color w:val="auto"/>
          <w:lang w:val="en-US" w:eastAsia="zh-CN"/>
        </w:rPr>
      </w:pPr>
      <w:r>
        <w:rPr>
          <w:rFonts w:hint="eastAsia" w:ascii="黑体" w:hAnsi="黑体" w:eastAsia="黑体" w:cs="黑体"/>
          <w:color w:val="auto"/>
          <w:lang w:val="en-US" w:eastAsia="zh-CN"/>
        </w:rPr>
        <w:t xml:space="preserve">表1 </w:t>
      </w:r>
      <w:r>
        <w:rPr>
          <w:rFonts w:hint="eastAsia" w:ascii="黑体" w:hAnsi="黑体" w:cs="黑体"/>
          <w:color w:val="auto"/>
          <w:lang w:val="en-US" w:eastAsia="zh-CN"/>
        </w:rPr>
        <w:t>排水</w:t>
      </w:r>
      <w:r>
        <w:rPr>
          <w:rFonts w:hint="eastAsia" w:ascii="黑体" w:hAnsi="黑体" w:eastAsia="黑体" w:cs="黑体"/>
          <w:color w:val="auto"/>
          <w:lang w:val="en-US" w:eastAsia="zh-CN"/>
        </w:rPr>
        <w:t>管网监测点位和监测指标</w:t>
      </w:r>
    </w:p>
    <w:tbl>
      <w:tblPr>
        <w:tblStyle w:val="32"/>
        <w:tblW w:w="46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0"/>
        <w:gridCol w:w="1154"/>
        <w:gridCol w:w="1154"/>
        <w:gridCol w:w="1154"/>
        <w:gridCol w:w="1154"/>
        <w:gridCol w:w="1154"/>
        <w:gridCol w:w="1156"/>
      </w:tblGrid>
      <w:tr w14:paraId="4629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6" w:type="pct"/>
            <w:vMerge w:val="restart"/>
            <w:vAlign w:val="center"/>
          </w:tcPr>
          <w:p w14:paraId="0D5B8F4F">
            <w:pPr>
              <w:pStyle w:val="41"/>
              <w:numPr>
                <w:ilvl w:val="0"/>
                <w:numId w:val="0"/>
              </w:numPr>
              <w:tabs>
                <w:tab w:val="center" w:pos="4201"/>
                <w:tab w:val="right" w:leader="dot" w:pos="9298"/>
              </w:tabs>
              <w:jc w:val="center"/>
              <w:rPr>
                <w:rFonts w:hint="default" w:hAnsi="宋体" w:eastAsia="宋体" w:cs="宋体"/>
                <w:color w:val="auto"/>
                <w:sz w:val="18"/>
                <w:szCs w:val="18"/>
                <w:vertAlign w:val="baseline"/>
                <w:lang w:val="en-US" w:eastAsia="zh-CN"/>
              </w:rPr>
            </w:pPr>
            <w:r>
              <w:rPr>
                <w:rFonts w:hint="eastAsia" w:hAnsi="宋体" w:cs="宋体"/>
                <w:color w:val="auto"/>
                <w:sz w:val="18"/>
                <w:szCs w:val="18"/>
                <w:vertAlign w:val="baseline"/>
                <w:lang w:val="en-US" w:eastAsia="zh-CN"/>
              </w:rPr>
              <w:t>监测对象</w:t>
            </w:r>
          </w:p>
        </w:tc>
        <w:tc>
          <w:tcPr>
            <w:tcW w:w="3853" w:type="pct"/>
            <w:gridSpan w:val="6"/>
            <w:vAlign w:val="center"/>
          </w:tcPr>
          <w:p w14:paraId="69C1E812">
            <w:pPr>
              <w:pStyle w:val="41"/>
              <w:numPr>
                <w:ilvl w:val="0"/>
                <w:numId w:val="0"/>
              </w:numPr>
              <w:tabs>
                <w:tab w:val="center" w:pos="4201"/>
                <w:tab w:val="right" w:leader="dot" w:pos="9298"/>
              </w:tabs>
              <w:ind w:firstLine="2160" w:firstLineChars="1200"/>
              <w:rPr>
                <w:rFonts w:hint="eastAsia"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监测指标</w:t>
            </w:r>
          </w:p>
        </w:tc>
      </w:tr>
      <w:tr w14:paraId="52FC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6" w:type="pct"/>
            <w:vMerge w:val="continue"/>
            <w:vAlign w:val="center"/>
          </w:tcPr>
          <w:p w14:paraId="0DB74711">
            <w:pPr>
              <w:pStyle w:val="41"/>
              <w:numPr>
                <w:ilvl w:val="0"/>
                <w:numId w:val="0"/>
              </w:numPr>
              <w:tabs>
                <w:tab w:val="center" w:pos="4201"/>
                <w:tab w:val="right" w:leader="dot" w:pos="9298"/>
              </w:tabs>
              <w:rPr>
                <w:rFonts w:hAnsi="宋体" w:cs="宋体"/>
                <w:color w:val="auto"/>
                <w:sz w:val="18"/>
                <w:szCs w:val="18"/>
                <w:vertAlign w:val="baseline"/>
              </w:rPr>
            </w:pPr>
          </w:p>
        </w:tc>
        <w:tc>
          <w:tcPr>
            <w:tcW w:w="642" w:type="pct"/>
            <w:vAlign w:val="center"/>
          </w:tcPr>
          <w:p w14:paraId="3B3FEE1B">
            <w:pPr>
              <w:pStyle w:val="41"/>
              <w:numPr>
                <w:ilvl w:val="0"/>
                <w:numId w:val="0"/>
              </w:numPr>
              <w:tabs>
                <w:tab w:val="center" w:pos="4201"/>
                <w:tab w:val="right" w:leader="dot" w:pos="9298"/>
              </w:tabs>
              <w:jc w:val="center"/>
              <w:rPr>
                <w:rFonts w:hint="eastAsia" w:hAnsi="宋体" w:eastAsia="宋体" w:cs="宋体"/>
                <w:color w:val="auto"/>
                <w:sz w:val="18"/>
                <w:szCs w:val="18"/>
                <w:vertAlign w:val="baseline"/>
                <w:lang w:val="en-US" w:eastAsia="zh-CN"/>
              </w:rPr>
            </w:pPr>
            <w:r>
              <w:rPr>
                <w:rFonts w:hint="eastAsia" w:hAnsi="宋体" w:cs="宋体"/>
                <w:color w:val="auto"/>
                <w:sz w:val="18"/>
                <w:szCs w:val="18"/>
                <w:vertAlign w:val="baseline"/>
                <w:lang w:val="en-US" w:eastAsia="zh-CN"/>
              </w:rPr>
              <w:t>液位</w:t>
            </w:r>
          </w:p>
        </w:tc>
        <w:tc>
          <w:tcPr>
            <w:tcW w:w="642" w:type="pct"/>
            <w:vAlign w:val="center"/>
          </w:tcPr>
          <w:p w14:paraId="0D730E06">
            <w:pPr>
              <w:pStyle w:val="41"/>
              <w:numPr>
                <w:ilvl w:val="0"/>
                <w:numId w:val="0"/>
              </w:numPr>
              <w:tabs>
                <w:tab w:val="center" w:pos="4201"/>
                <w:tab w:val="right" w:leader="dot" w:pos="9298"/>
              </w:tabs>
              <w:ind w:firstLine="180" w:firstLineChars="100"/>
              <w:jc w:val="center"/>
              <w:rPr>
                <w:rFonts w:hint="eastAsia" w:hAnsi="宋体" w:eastAsia="宋体" w:cs="宋体"/>
                <w:color w:val="auto"/>
                <w:sz w:val="18"/>
                <w:szCs w:val="18"/>
                <w:vertAlign w:val="baseline"/>
                <w:lang w:val="en-US" w:eastAsia="zh-CN"/>
              </w:rPr>
            </w:pPr>
            <w:r>
              <w:rPr>
                <w:rFonts w:hint="eastAsia" w:hAnsi="宋体" w:cs="宋体"/>
                <w:color w:val="auto"/>
                <w:sz w:val="18"/>
                <w:szCs w:val="18"/>
                <w:vertAlign w:val="baseline"/>
                <w:lang w:val="en-US" w:eastAsia="zh-CN"/>
              </w:rPr>
              <w:t>流量</w:t>
            </w:r>
          </w:p>
        </w:tc>
        <w:tc>
          <w:tcPr>
            <w:tcW w:w="642" w:type="pct"/>
            <w:vAlign w:val="center"/>
          </w:tcPr>
          <w:p w14:paraId="3C33ED18">
            <w:pPr>
              <w:pStyle w:val="41"/>
              <w:numPr>
                <w:ilvl w:val="0"/>
                <w:numId w:val="0"/>
              </w:numPr>
              <w:tabs>
                <w:tab w:val="center" w:pos="4201"/>
                <w:tab w:val="right" w:leader="dot" w:pos="9298"/>
              </w:tabs>
              <w:ind w:firstLine="180" w:firstLineChars="100"/>
              <w:jc w:val="center"/>
              <w:rPr>
                <w:rFonts w:hint="eastAsia" w:hAnsi="宋体" w:eastAsia="宋体" w:cs="宋体"/>
                <w:color w:val="auto"/>
                <w:sz w:val="18"/>
                <w:szCs w:val="18"/>
                <w:vertAlign w:val="baseline"/>
                <w:lang w:val="en-US" w:eastAsia="zh-CN"/>
              </w:rPr>
            </w:pPr>
            <w:r>
              <w:rPr>
                <w:rFonts w:hint="eastAsia" w:hAnsi="宋体" w:cs="宋体"/>
                <w:color w:val="auto"/>
                <w:sz w:val="18"/>
                <w:szCs w:val="18"/>
                <w:vertAlign w:val="baseline"/>
                <w:lang w:val="en-US" w:eastAsia="zh-CN"/>
              </w:rPr>
              <w:t>氨氮</w:t>
            </w:r>
          </w:p>
        </w:tc>
        <w:tc>
          <w:tcPr>
            <w:tcW w:w="642" w:type="pct"/>
            <w:vAlign w:val="center"/>
          </w:tcPr>
          <w:p w14:paraId="17E200C5">
            <w:pPr>
              <w:pStyle w:val="41"/>
              <w:numPr>
                <w:ilvl w:val="0"/>
                <w:numId w:val="0"/>
              </w:numPr>
              <w:tabs>
                <w:tab w:val="center" w:pos="4201"/>
                <w:tab w:val="right" w:leader="dot" w:pos="9298"/>
              </w:tabs>
              <w:ind w:firstLine="180" w:firstLineChars="100"/>
              <w:jc w:val="center"/>
              <w:rPr>
                <w:rFonts w:hint="default" w:hAnsi="宋体" w:eastAsia="宋体" w:cs="宋体"/>
                <w:color w:val="auto"/>
                <w:sz w:val="18"/>
                <w:szCs w:val="18"/>
                <w:vertAlign w:val="baseline"/>
                <w:lang w:val="en-US" w:eastAsia="zh-CN"/>
              </w:rPr>
            </w:pPr>
            <w:r>
              <w:rPr>
                <w:rFonts w:hint="eastAsia" w:hAnsi="宋体" w:cs="宋体"/>
                <w:color w:val="auto"/>
                <w:sz w:val="18"/>
                <w:szCs w:val="18"/>
                <w:vertAlign w:val="baseline"/>
                <w:lang w:val="en-US" w:eastAsia="zh-CN"/>
              </w:rPr>
              <w:t>COD</w:t>
            </w:r>
          </w:p>
        </w:tc>
        <w:tc>
          <w:tcPr>
            <w:tcW w:w="642" w:type="pct"/>
            <w:vAlign w:val="center"/>
          </w:tcPr>
          <w:p w14:paraId="7B48CA18">
            <w:pPr>
              <w:pStyle w:val="41"/>
              <w:numPr>
                <w:ilvl w:val="0"/>
                <w:numId w:val="0"/>
              </w:numPr>
              <w:tabs>
                <w:tab w:val="center" w:pos="4201"/>
                <w:tab w:val="right" w:leader="dot" w:pos="9298"/>
              </w:tabs>
              <w:jc w:val="center"/>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电导率</w:t>
            </w:r>
          </w:p>
        </w:tc>
        <w:tc>
          <w:tcPr>
            <w:tcW w:w="643" w:type="pct"/>
            <w:shd w:val="clear" w:color="auto" w:fill="auto"/>
            <w:vAlign w:val="center"/>
          </w:tcPr>
          <w:p w14:paraId="68994A0F">
            <w:pPr>
              <w:pStyle w:val="41"/>
              <w:numPr>
                <w:ilvl w:val="0"/>
                <w:numId w:val="0"/>
              </w:numPr>
              <w:tabs>
                <w:tab w:val="center" w:pos="4201"/>
                <w:tab w:val="right" w:leader="dot" w:pos="9298"/>
              </w:tabs>
              <w:ind w:left="0" w:leftChars="0" w:firstLine="0" w:firstLineChars="0"/>
              <w:jc w:val="center"/>
              <w:rPr>
                <w:rFonts w:hint="eastAsia" w:ascii="宋体" w:hAnsi="宋体" w:eastAsia="宋体" w:cs="宋体"/>
                <w:color w:val="auto"/>
                <w:sz w:val="18"/>
                <w:szCs w:val="18"/>
                <w:vertAlign w:val="baseline"/>
                <w:lang w:val="en-US" w:eastAsia="zh-CN" w:bidi="ar-SA"/>
              </w:rPr>
            </w:pPr>
            <w:r>
              <w:rPr>
                <w:rFonts w:hint="eastAsia" w:hAnsi="宋体" w:cs="宋体"/>
                <w:color w:val="auto"/>
                <w:sz w:val="18"/>
                <w:szCs w:val="18"/>
                <w:vertAlign w:val="baseline"/>
                <w:lang w:val="en-US" w:eastAsia="zh-CN"/>
              </w:rPr>
              <w:t>视频</w:t>
            </w:r>
          </w:p>
        </w:tc>
      </w:tr>
      <w:tr w14:paraId="57A6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6" w:type="pct"/>
            <w:vAlign w:val="center"/>
          </w:tcPr>
          <w:p w14:paraId="6B23A59F">
            <w:pPr>
              <w:pStyle w:val="41"/>
              <w:numPr>
                <w:ilvl w:val="0"/>
                <w:numId w:val="0"/>
              </w:numPr>
              <w:tabs>
                <w:tab w:val="center" w:pos="4201"/>
                <w:tab w:val="right" w:leader="dot" w:pos="9298"/>
              </w:tabs>
              <w:rPr>
                <w:rFonts w:hint="default" w:hAnsi="宋体" w:eastAsia="宋体" w:cs="宋体"/>
                <w:color w:val="auto"/>
                <w:sz w:val="18"/>
                <w:szCs w:val="18"/>
                <w:vertAlign w:val="baseline"/>
                <w:lang w:val="en-US" w:eastAsia="zh-CN"/>
              </w:rPr>
            </w:pPr>
            <w:r>
              <w:rPr>
                <w:rFonts w:hint="eastAsia" w:hAnsi="宋体" w:cs="宋体"/>
                <w:color w:val="auto"/>
                <w:sz w:val="18"/>
                <w:szCs w:val="18"/>
                <w:vertAlign w:val="baseline"/>
                <w:lang w:val="en-US" w:eastAsia="zh-CN"/>
              </w:rPr>
              <w:t>雨水排水口</w:t>
            </w:r>
          </w:p>
        </w:tc>
        <w:tc>
          <w:tcPr>
            <w:tcW w:w="642" w:type="pct"/>
            <w:vAlign w:val="center"/>
          </w:tcPr>
          <w:p w14:paraId="0CBCA086">
            <w:pPr>
              <w:pStyle w:val="41"/>
              <w:numPr>
                <w:ilvl w:val="0"/>
                <w:numId w:val="0"/>
              </w:numPr>
              <w:tabs>
                <w:tab w:val="center" w:pos="4201"/>
                <w:tab w:val="right" w:leader="dot" w:pos="9298"/>
              </w:tabs>
              <w:jc w:val="center"/>
              <w:rPr>
                <w:rFonts w:hint="default" w:hAnsi="宋体" w:eastAsia="宋体" w:cs="宋体"/>
                <w:color w:val="auto"/>
                <w:sz w:val="18"/>
                <w:szCs w:val="18"/>
                <w:vertAlign w:val="baseline"/>
                <w:lang w:val="en-US" w:eastAsia="zh-CN"/>
              </w:rPr>
            </w:pPr>
            <w:r>
              <w:rPr>
                <w:rFonts w:hint="default" w:hAnsi="宋体" w:eastAsia="宋体" w:cs="宋体"/>
                <w:color w:val="auto"/>
                <w:sz w:val="18"/>
                <w:szCs w:val="18"/>
                <w:vertAlign w:val="baseline"/>
                <w:lang w:val="en-US" w:eastAsia="zh-CN"/>
              </w:rPr>
              <w:t>●</w:t>
            </w:r>
          </w:p>
        </w:tc>
        <w:tc>
          <w:tcPr>
            <w:tcW w:w="642" w:type="pct"/>
            <w:shd w:val="clear" w:color="auto" w:fill="auto"/>
            <w:vAlign w:val="center"/>
          </w:tcPr>
          <w:p w14:paraId="6F83EE8C">
            <w:pPr>
              <w:pStyle w:val="41"/>
              <w:numPr>
                <w:ilvl w:val="0"/>
                <w:numId w:val="0"/>
              </w:numPr>
              <w:tabs>
                <w:tab w:val="center" w:pos="4201"/>
                <w:tab w:val="right" w:leader="dot" w:pos="9298"/>
              </w:tabs>
              <w:ind w:left="0" w:leftChars="0" w:firstLine="0" w:firstLineChars="0"/>
              <w:jc w:val="center"/>
              <w:rPr>
                <w:rFonts w:hint="eastAsia" w:ascii="宋体" w:hAnsi="宋体" w:eastAsia="宋体" w:cs="宋体"/>
                <w:color w:val="auto"/>
                <w:sz w:val="18"/>
                <w:szCs w:val="18"/>
                <w:vertAlign w:val="baseline"/>
                <w:lang w:val="en-US" w:eastAsia="zh-CN" w:bidi="ar-SA"/>
              </w:rPr>
            </w:pPr>
            <w:r>
              <w:rPr>
                <w:rFonts w:hint="default" w:hAnsi="宋体" w:eastAsia="宋体" w:cs="宋体"/>
                <w:color w:val="auto"/>
                <w:sz w:val="18"/>
                <w:szCs w:val="18"/>
                <w:vertAlign w:val="baseline"/>
                <w:lang w:val="en-US" w:eastAsia="zh-CN"/>
              </w:rPr>
              <w:t>●</w:t>
            </w:r>
          </w:p>
        </w:tc>
        <w:tc>
          <w:tcPr>
            <w:tcW w:w="642" w:type="pct"/>
            <w:vAlign w:val="center"/>
          </w:tcPr>
          <w:p w14:paraId="2ADBF524">
            <w:pPr>
              <w:pStyle w:val="41"/>
              <w:numPr>
                <w:ilvl w:val="0"/>
                <w:numId w:val="0"/>
              </w:numPr>
              <w:tabs>
                <w:tab w:val="center" w:pos="4201"/>
                <w:tab w:val="right" w:leader="dot" w:pos="9298"/>
              </w:tabs>
              <w:jc w:val="center"/>
              <w:rPr>
                <w:rFonts w:hint="default" w:hAnsi="宋体" w:eastAsia="宋体" w:cs="宋体"/>
                <w:color w:val="auto"/>
                <w:sz w:val="18"/>
                <w:szCs w:val="18"/>
                <w:vertAlign w:val="baseline"/>
                <w:lang w:val="en-US" w:eastAsia="zh-CN"/>
              </w:rPr>
            </w:pPr>
            <w:r>
              <w:rPr>
                <w:rFonts w:hint="default" w:hAnsi="宋体" w:eastAsia="宋体" w:cs="宋体"/>
                <w:color w:val="auto"/>
                <w:sz w:val="18"/>
                <w:szCs w:val="18"/>
                <w:vertAlign w:val="baseline"/>
                <w:lang w:val="en-US" w:eastAsia="zh-CN"/>
              </w:rPr>
              <w:t>○</w:t>
            </w:r>
          </w:p>
        </w:tc>
        <w:tc>
          <w:tcPr>
            <w:tcW w:w="642" w:type="pct"/>
            <w:shd w:val="clear" w:color="auto" w:fill="auto"/>
            <w:vAlign w:val="center"/>
          </w:tcPr>
          <w:p w14:paraId="6886CE41">
            <w:pPr>
              <w:pStyle w:val="41"/>
              <w:numPr>
                <w:ilvl w:val="0"/>
                <w:numId w:val="0"/>
              </w:numPr>
              <w:tabs>
                <w:tab w:val="center" w:pos="4201"/>
                <w:tab w:val="right" w:leader="dot" w:pos="9298"/>
              </w:tabs>
              <w:ind w:left="0" w:leftChars="0" w:firstLine="0" w:firstLineChars="0"/>
              <w:jc w:val="center"/>
              <w:rPr>
                <w:rFonts w:hint="default" w:ascii="宋体" w:hAnsi="宋体" w:eastAsia="宋体" w:cs="宋体"/>
                <w:color w:val="auto"/>
                <w:sz w:val="18"/>
                <w:szCs w:val="18"/>
                <w:vertAlign w:val="baseline"/>
                <w:lang w:val="en-US" w:eastAsia="zh-CN" w:bidi="ar-SA"/>
              </w:rPr>
            </w:pPr>
            <w:r>
              <w:rPr>
                <w:rFonts w:hint="default" w:hAnsi="宋体" w:eastAsia="宋体" w:cs="宋体"/>
                <w:color w:val="auto"/>
                <w:sz w:val="18"/>
                <w:szCs w:val="18"/>
                <w:vertAlign w:val="baseline"/>
                <w:lang w:val="en-US" w:eastAsia="zh-CN"/>
              </w:rPr>
              <w:t>●</w:t>
            </w:r>
          </w:p>
        </w:tc>
        <w:tc>
          <w:tcPr>
            <w:tcW w:w="642" w:type="pct"/>
            <w:shd w:val="clear" w:color="auto" w:fill="auto"/>
            <w:vAlign w:val="center"/>
          </w:tcPr>
          <w:p w14:paraId="65308470">
            <w:pPr>
              <w:pStyle w:val="41"/>
              <w:numPr>
                <w:ilvl w:val="0"/>
                <w:numId w:val="0"/>
              </w:numPr>
              <w:tabs>
                <w:tab w:val="center" w:pos="4201"/>
                <w:tab w:val="right" w:leader="dot" w:pos="9298"/>
              </w:tabs>
              <w:ind w:left="0" w:leftChars="0" w:firstLine="0" w:firstLineChars="0"/>
              <w:jc w:val="center"/>
              <w:rPr>
                <w:rFonts w:ascii="宋体" w:hAnsi="Times New Roman" w:eastAsia="宋体" w:cs="Times New Roman"/>
                <w:color w:val="auto"/>
                <w:sz w:val="18"/>
                <w:szCs w:val="18"/>
                <w:lang w:val="en-US" w:eastAsia="zh-CN" w:bidi="ar-SA"/>
              </w:rPr>
            </w:pPr>
            <w:r>
              <w:rPr>
                <w:rFonts w:hint="eastAsia"/>
                <w:color w:val="auto"/>
                <w:sz w:val="18"/>
                <w:szCs w:val="18"/>
                <w:lang w:val="en-US" w:eastAsia="zh-CN"/>
              </w:rPr>
              <w:t>▲</w:t>
            </w:r>
          </w:p>
        </w:tc>
        <w:tc>
          <w:tcPr>
            <w:tcW w:w="643" w:type="pct"/>
            <w:shd w:val="clear" w:color="auto" w:fill="auto"/>
            <w:vAlign w:val="center"/>
          </w:tcPr>
          <w:p w14:paraId="7C6A7DAE">
            <w:pPr>
              <w:pStyle w:val="41"/>
              <w:numPr>
                <w:ilvl w:val="0"/>
                <w:numId w:val="0"/>
              </w:numPr>
              <w:tabs>
                <w:tab w:val="center" w:pos="4201"/>
                <w:tab w:val="right" w:leader="dot" w:pos="9298"/>
              </w:tabs>
              <w:ind w:left="0" w:leftChars="0" w:firstLine="0" w:firstLineChars="0"/>
              <w:jc w:val="center"/>
              <w:rPr>
                <w:rFonts w:ascii="宋体" w:hAnsi="Times New Roman" w:eastAsia="宋体" w:cs="Times New Roman"/>
                <w:color w:val="auto"/>
                <w:sz w:val="18"/>
                <w:szCs w:val="18"/>
                <w:lang w:val="en-US" w:eastAsia="zh-CN" w:bidi="ar-SA"/>
              </w:rPr>
            </w:pPr>
            <w:r>
              <w:rPr>
                <w:rFonts w:hint="eastAsia"/>
                <w:color w:val="auto"/>
                <w:sz w:val="18"/>
                <w:szCs w:val="18"/>
                <w:lang w:val="en-US" w:eastAsia="zh-CN"/>
              </w:rPr>
              <w:t>▲</w:t>
            </w:r>
          </w:p>
        </w:tc>
      </w:tr>
      <w:tr w14:paraId="2B2B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6" w:type="pct"/>
            <w:vAlign w:val="center"/>
          </w:tcPr>
          <w:p w14:paraId="27F3980D">
            <w:pPr>
              <w:pStyle w:val="41"/>
              <w:numPr>
                <w:ilvl w:val="0"/>
                <w:numId w:val="0"/>
              </w:numPr>
              <w:tabs>
                <w:tab w:val="center" w:pos="4201"/>
                <w:tab w:val="right" w:leader="dot" w:pos="9298"/>
              </w:tabs>
              <w:rPr>
                <w:rFonts w:hint="default" w:hAnsi="宋体" w:eastAsia="宋体" w:cs="宋体"/>
                <w:color w:val="auto"/>
                <w:sz w:val="18"/>
                <w:szCs w:val="18"/>
                <w:vertAlign w:val="baseline"/>
                <w:lang w:val="en-US" w:eastAsia="zh-CN"/>
              </w:rPr>
            </w:pPr>
            <w:r>
              <w:rPr>
                <w:rFonts w:hint="eastAsia" w:hAnsi="宋体" w:cs="宋体"/>
                <w:color w:val="auto"/>
                <w:sz w:val="18"/>
                <w:szCs w:val="18"/>
                <w:vertAlign w:val="baseline"/>
                <w:lang w:val="en-US" w:eastAsia="zh-CN"/>
              </w:rPr>
              <w:t>合流排水口</w:t>
            </w:r>
          </w:p>
        </w:tc>
        <w:tc>
          <w:tcPr>
            <w:tcW w:w="642" w:type="pct"/>
            <w:shd w:val="clear" w:color="auto" w:fill="auto"/>
            <w:vAlign w:val="center"/>
          </w:tcPr>
          <w:p w14:paraId="071EA8B1">
            <w:pPr>
              <w:pStyle w:val="41"/>
              <w:numPr>
                <w:ilvl w:val="0"/>
                <w:numId w:val="0"/>
              </w:numPr>
              <w:tabs>
                <w:tab w:val="center" w:pos="4201"/>
                <w:tab w:val="right" w:leader="dot" w:pos="9298"/>
              </w:tabs>
              <w:ind w:left="0" w:leftChars="0" w:firstLine="0" w:firstLineChars="0"/>
              <w:jc w:val="center"/>
              <w:rPr>
                <w:rFonts w:hint="default" w:ascii="宋体" w:hAnsi="宋体" w:eastAsia="宋体" w:cs="宋体"/>
                <w:color w:val="auto"/>
                <w:sz w:val="18"/>
                <w:szCs w:val="18"/>
                <w:vertAlign w:val="baseline"/>
                <w:lang w:val="en-US" w:eastAsia="zh-CN" w:bidi="ar-SA"/>
              </w:rPr>
            </w:pPr>
            <w:r>
              <w:rPr>
                <w:rFonts w:hint="default" w:hAnsi="宋体" w:eastAsia="宋体" w:cs="宋体"/>
                <w:color w:val="auto"/>
                <w:sz w:val="18"/>
                <w:szCs w:val="18"/>
                <w:vertAlign w:val="baseline"/>
                <w:lang w:val="en-US" w:eastAsia="zh-CN"/>
              </w:rPr>
              <w:t>●</w:t>
            </w:r>
          </w:p>
        </w:tc>
        <w:tc>
          <w:tcPr>
            <w:tcW w:w="642" w:type="pct"/>
            <w:shd w:val="clear" w:color="auto" w:fill="auto"/>
            <w:vAlign w:val="center"/>
          </w:tcPr>
          <w:p w14:paraId="03B1371E">
            <w:pPr>
              <w:pStyle w:val="41"/>
              <w:numPr>
                <w:ilvl w:val="0"/>
                <w:numId w:val="0"/>
              </w:numPr>
              <w:tabs>
                <w:tab w:val="center" w:pos="4201"/>
                <w:tab w:val="right" w:leader="dot" w:pos="9298"/>
              </w:tabs>
              <w:ind w:left="0" w:leftChars="0" w:firstLine="0" w:firstLineChars="0"/>
              <w:jc w:val="center"/>
              <w:rPr>
                <w:rFonts w:hint="default" w:ascii="宋体" w:hAnsi="宋体" w:eastAsia="宋体" w:cs="宋体"/>
                <w:color w:val="auto"/>
                <w:sz w:val="18"/>
                <w:szCs w:val="18"/>
                <w:vertAlign w:val="baseline"/>
                <w:lang w:val="en-US" w:eastAsia="zh-CN" w:bidi="ar-SA"/>
              </w:rPr>
            </w:pPr>
            <w:r>
              <w:rPr>
                <w:rFonts w:hint="default" w:hAnsi="宋体" w:eastAsia="宋体" w:cs="宋体"/>
                <w:color w:val="auto"/>
                <w:sz w:val="18"/>
                <w:szCs w:val="18"/>
                <w:vertAlign w:val="baseline"/>
                <w:lang w:val="en-US" w:eastAsia="zh-CN"/>
              </w:rPr>
              <w:t>●</w:t>
            </w:r>
          </w:p>
        </w:tc>
        <w:tc>
          <w:tcPr>
            <w:tcW w:w="642" w:type="pct"/>
            <w:shd w:val="clear" w:color="auto" w:fill="auto"/>
            <w:vAlign w:val="center"/>
          </w:tcPr>
          <w:p w14:paraId="5D85B22B">
            <w:pPr>
              <w:pStyle w:val="41"/>
              <w:numPr>
                <w:ilvl w:val="0"/>
                <w:numId w:val="0"/>
              </w:numPr>
              <w:tabs>
                <w:tab w:val="center" w:pos="4201"/>
                <w:tab w:val="right" w:leader="dot" w:pos="9298"/>
              </w:tabs>
              <w:ind w:left="0" w:leftChars="0" w:firstLine="0" w:firstLineChars="0"/>
              <w:jc w:val="center"/>
              <w:rPr>
                <w:rFonts w:ascii="宋体" w:hAnsi="Times New Roman" w:eastAsia="宋体" w:cs="Times New Roman"/>
                <w:color w:val="auto"/>
                <w:sz w:val="18"/>
                <w:szCs w:val="18"/>
                <w:lang w:val="en-US" w:eastAsia="zh-CN" w:bidi="ar-SA"/>
              </w:rPr>
            </w:pPr>
            <w:r>
              <w:rPr>
                <w:rFonts w:hint="eastAsia"/>
                <w:color w:val="auto"/>
                <w:sz w:val="18"/>
                <w:szCs w:val="18"/>
                <w:lang w:val="en-US" w:eastAsia="zh-CN"/>
              </w:rPr>
              <w:t>▲</w:t>
            </w:r>
          </w:p>
        </w:tc>
        <w:tc>
          <w:tcPr>
            <w:tcW w:w="642" w:type="pct"/>
            <w:shd w:val="clear" w:color="auto" w:fill="auto"/>
            <w:vAlign w:val="center"/>
          </w:tcPr>
          <w:p w14:paraId="1D2C4B5D">
            <w:pPr>
              <w:pStyle w:val="41"/>
              <w:numPr>
                <w:ilvl w:val="0"/>
                <w:numId w:val="0"/>
              </w:numPr>
              <w:tabs>
                <w:tab w:val="center" w:pos="4201"/>
                <w:tab w:val="right" w:leader="dot" w:pos="9298"/>
              </w:tabs>
              <w:ind w:left="0" w:leftChars="0" w:firstLine="0" w:firstLineChars="0"/>
              <w:jc w:val="center"/>
              <w:rPr>
                <w:rFonts w:hint="default" w:ascii="宋体" w:hAnsi="宋体" w:eastAsia="宋体" w:cs="宋体"/>
                <w:color w:val="auto"/>
                <w:sz w:val="18"/>
                <w:szCs w:val="18"/>
                <w:vertAlign w:val="baseline"/>
                <w:lang w:val="en-US" w:eastAsia="zh-CN" w:bidi="ar-SA"/>
              </w:rPr>
            </w:pPr>
            <w:r>
              <w:rPr>
                <w:rFonts w:hint="default" w:hAnsi="宋体" w:eastAsia="宋体" w:cs="宋体"/>
                <w:color w:val="auto"/>
                <w:sz w:val="18"/>
                <w:szCs w:val="18"/>
                <w:vertAlign w:val="baseline"/>
                <w:lang w:val="en-US" w:eastAsia="zh-CN"/>
              </w:rPr>
              <w:t>●</w:t>
            </w:r>
          </w:p>
        </w:tc>
        <w:tc>
          <w:tcPr>
            <w:tcW w:w="642" w:type="pct"/>
            <w:shd w:val="clear" w:color="auto" w:fill="auto"/>
            <w:vAlign w:val="center"/>
          </w:tcPr>
          <w:p w14:paraId="76E2ADD1">
            <w:pPr>
              <w:pStyle w:val="41"/>
              <w:numPr>
                <w:ilvl w:val="0"/>
                <w:numId w:val="0"/>
              </w:numPr>
              <w:tabs>
                <w:tab w:val="center" w:pos="4201"/>
                <w:tab w:val="right" w:leader="dot" w:pos="9298"/>
              </w:tabs>
              <w:ind w:left="0" w:leftChars="0" w:firstLine="0" w:firstLineChars="0"/>
              <w:jc w:val="center"/>
              <w:rPr>
                <w:rFonts w:ascii="宋体" w:hAnsi="Times New Roman" w:eastAsia="宋体" w:cs="Times New Roman"/>
                <w:color w:val="auto"/>
                <w:sz w:val="18"/>
                <w:szCs w:val="18"/>
                <w:lang w:val="en-US" w:eastAsia="zh-CN" w:bidi="ar-SA"/>
              </w:rPr>
            </w:pPr>
            <w:r>
              <w:rPr>
                <w:rFonts w:hint="eastAsia"/>
                <w:color w:val="auto"/>
                <w:sz w:val="18"/>
                <w:szCs w:val="18"/>
                <w:lang w:val="en-US" w:eastAsia="zh-CN"/>
              </w:rPr>
              <w:t>▲</w:t>
            </w:r>
          </w:p>
        </w:tc>
        <w:tc>
          <w:tcPr>
            <w:tcW w:w="643" w:type="pct"/>
            <w:shd w:val="clear" w:color="auto" w:fill="auto"/>
            <w:vAlign w:val="center"/>
          </w:tcPr>
          <w:p w14:paraId="43B9A7EA">
            <w:pPr>
              <w:pStyle w:val="41"/>
              <w:numPr>
                <w:ilvl w:val="0"/>
                <w:numId w:val="0"/>
              </w:numPr>
              <w:tabs>
                <w:tab w:val="center" w:pos="4201"/>
                <w:tab w:val="right" w:leader="dot" w:pos="9298"/>
              </w:tabs>
              <w:ind w:left="0" w:leftChars="0" w:firstLine="0" w:firstLineChars="0"/>
              <w:jc w:val="center"/>
              <w:rPr>
                <w:rFonts w:ascii="宋体" w:hAnsi="Times New Roman" w:eastAsia="宋体" w:cs="Times New Roman"/>
                <w:color w:val="auto"/>
                <w:sz w:val="18"/>
                <w:szCs w:val="18"/>
                <w:lang w:val="en-US" w:eastAsia="zh-CN" w:bidi="ar-SA"/>
              </w:rPr>
            </w:pPr>
            <w:r>
              <w:rPr>
                <w:rFonts w:hint="eastAsia"/>
                <w:color w:val="auto"/>
                <w:sz w:val="18"/>
                <w:szCs w:val="18"/>
                <w:lang w:val="en-US" w:eastAsia="zh-CN"/>
              </w:rPr>
              <w:t>▲</w:t>
            </w:r>
          </w:p>
        </w:tc>
      </w:tr>
      <w:tr w14:paraId="0678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6" w:type="pct"/>
            <w:vAlign w:val="center"/>
          </w:tcPr>
          <w:p w14:paraId="5862CDAA">
            <w:pPr>
              <w:pStyle w:val="41"/>
              <w:numPr>
                <w:ilvl w:val="0"/>
                <w:numId w:val="0"/>
              </w:numPr>
              <w:tabs>
                <w:tab w:val="center" w:pos="4201"/>
                <w:tab w:val="right" w:leader="dot" w:pos="9298"/>
              </w:tabs>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雨水管线关键节点</w:t>
            </w:r>
          </w:p>
        </w:tc>
        <w:tc>
          <w:tcPr>
            <w:tcW w:w="642" w:type="pct"/>
            <w:shd w:val="clear" w:color="auto" w:fill="auto"/>
            <w:vAlign w:val="center"/>
          </w:tcPr>
          <w:p w14:paraId="72EFF2C2">
            <w:pPr>
              <w:pStyle w:val="41"/>
              <w:numPr>
                <w:ilvl w:val="0"/>
                <w:numId w:val="0"/>
              </w:numPr>
              <w:tabs>
                <w:tab w:val="center" w:pos="4201"/>
                <w:tab w:val="right" w:leader="dot" w:pos="9298"/>
              </w:tabs>
              <w:ind w:left="0" w:leftChars="0" w:firstLine="0" w:firstLineChars="0"/>
              <w:jc w:val="center"/>
              <w:rPr>
                <w:rFonts w:hint="default" w:ascii="宋体" w:hAnsi="宋体" w:eastAsia="宋体" w:cs="宋体"/>
                <w:color w:val="auto"/>
                <w:sz w:val="18"/>
                <w:szCs w:val="18"/>
                <w:vertAlign w:val="baseline"/>
                <w:lang w:val="en-US" w:eastAsia="zh-CN" w:bidi="ar-SA"/>
              </w:rPr>
            </w:pPr>
            <w:r>
              <w:rPr>
                <w:rFonts w:hint="default" w:hAnsi="宋体" w:eastAsia="宋体" w:cs="宋体"/>
                <w:color w:val="auto"/>
                <w:sz w:val="18"/>
                <w:szCs w:val="18"/>
                <w:vertAlign w:val="baseline"/>
                <w:lang w:val="en-US" w:eastAsia="zh-CN"/>
              </w:rPr>
              <w:t>●</w:t>
            </w:r>
          </w:p>
        </w:tc>
        <w:tc>
          <w:tcPr>
            <w:tcW w:w="642" w:type="pct"/>
            <w:vAlign w:val="center"/>
          </w:tcPr>
          <w:p w14:paraId="34A37B5A">
            <w:pPr>
              <w:pStyle w:val="41"/>
              <w:numPr>
                <w:ilvl w:val="0"/>
                <w:numId w:val="0"/>
              </w:numPr>
              <w:tabs>
                <w:tab w:val="center" w:pos="4201"/>
                <w:tab w:val="right" w:leader="dot" w:pos="9298"/>
              </w:tabs>
              <w:ind w:left="0" w:leftChars="0" w:firstLine="0" w:firstLineChars="0"/>
              <w:jc w:val="center"/>
              <w:rPr>
                <w:color w:val="auto"/>
                <w:sz w:val="18"/>
                <w:szCs w:val="18"/>
              </w:rPr>
            </w:pPr>
            <w:r>
              <w:rPr>
                <w:rFonts w:hint="eastAsia"/>
                <w:color w:val="auto"/>
                <w:sz w:val="18"/>
                <w:szCs w:val="18"/>
                <w:lang w:val="en-US" w:eastAsia="zh-CN"/>
              </w:rPr>
              <w:t>▲</w:t>
            </w:r>
          </w:p>
        </w:tc>
        <w:tc>
          <w:tcPr>
            <w:tcW w:w="642" w:type="pct"/>
            <w:vAlign w:val="center"/>
          </w:tcPr>
          <w:p w14:paraId="29E947B2">
            <w:pPr>
              <w:pStyle w:val="41"/>
              <w:numPr>
                <w:ilvl w:val="0"/>
                <w:numId w:val="0"/>
              </w:numPr>
              <w:tabs>
                <w:tab w:val="center" w:pos="4201"/>
                <w:tab w:val="right" w:leader="dot" w:pos="9298"/>
              </w:tabs>
              <w:ind w:left="0" w:leftChars="0" w:firstLine="0" w:firstLineChars="0"/>
              <w:jc w:val="center"/>
              <w:rPr>
                <w:color w:val="auto"/>
                <w:sz w:val="18"/>
                <w:szCs w:val="18"/>
              </w:rPr>
            </w:pPr>
            <w:r>
              <w:rPr>
                <w:rFonts w:hint="eastAsia"/>
                <w:color w:val="auto"/>
                <w:sz w:val="18"/>
                <w:szCs w:val="18"/>
                <w:lang w:eastAsia="zh-CN"/>
              </w:rPr>
              <w:t>○</w:t>
            </w:r>
          </w:p>
        </w:tc>
        <w:tc>
          <w:tcPr>
            <w:tcW w:w="642" w:type="pct"/>
            <w:shd w:val="clear" w:color="auto" w:fill="auto"/>
            <w:vAlign w:val="center"/>
          </w:tcPr>
          <w:p w14:paraId="0A031F68">
            <w:pPr>
              <w:pStyle w:val="41"/>
              <w:numPr>
                <w:ilvl w:val="0"/>
                <w:numId w:val="0"/>
              </w:numPr>
              <w:tabs>
                <w:tab w:val="center" w:pos="4201"/>
                <w:tab w:val="right" w:leader="dot" w:pos="9298"/>
              </w:tabs>
              <w:ind w:left="0" w:leftChars="0" w:firstLine="0" w:firstLineChars="0"/>
              <w:jc w:val="center"/>
              <w:rPr>
                <w:rFonts w:hint="default" w:ascii="宋体" w:hAnsi="宋体" w:eastAsia="宋体" w:cs="宋体"/>
                <w:color w:val="auto"/>
                <w:sz w:val="18"/>
                <w:szCs w:val="18"/>
                <w:vertAlign w:val="baseline"/>
                <w:lang w:val="en-US" w:eastAsia="zh-CN" w:bidi="ar-SA"/>
              </w:rPr>
            </w:pPr>
            <w:r>
              <w:rPr>
                <w:rFonts w:hint="default" w:hAnsi="宋体" w:eastAsia="宋体" w:cs="宋体"/>
                <w:color w:val="auto"/>
                <w:sz w:val="18"/>
                <w:szCs w:val="18"/>
                <w:vertAlign w:val="baseline"/>
                <w:lang w:val="en-US" w:eastAsia="zh-CN"/>
              </w:rPr>
              <w:t>●</w:t>
            </w:r>
          </w:p>
        </w:tc>
        <w:tc>
          <w:tcPr>
            <w:tcW w:w="642" w:type="pct"/>
            <w:shd w:val="clear" w:color="auto" w:fill="auto"/>
            <w:vAlign w:val="center"/>
          </w:tcPr>
          <w:p w14:paraId="34433B6A">
            <w:pPr>
              <w:pStyle w:val="41"/>
              <w:numPr>
                <w:ilvl w:val="0"/>
                <w:numId w:val="0"/>
              </w:numPr>
              <w:tabs>
                <w:tab w:val="center" w:pos="4201"/>
                <w:tab w:val="right" w:leader="dot" w:pos="9298"/>
              </w:tabs>
              <w:ind w:left="0" w:leftChars="0" w:firstLine="0" w:firstLineChars="0"/>
              <w:jc w:val="center"/>
              <w:rPr>
                <w:rFonts w:ascii="宋体" w:hAnsi="Times New Roman" w:eastAsia="宋体" w:cs="Times New Roman"/>
                <w:color w:val="auto"/>
                <w:sz w:val="18"/>
                <w:szCs w:val="18"/>
                <w:lang w:val="en-US" w:eastAsia="zh-CN" w:bidi="ar-SA"/>
              </w:rPr>
            </w:pPr>
            <w:r>
              <w:rPr>
                <w:rFonts w:hint="eastAsia"/>
                <w:color w:val="auto"/>
                <w:sz w:val="18"/>
                <w:szCs w:val="18"/>
                <w:lang w:val="en-US" w:eastAsia="zh-CN"/>
              </w:rPr>
              <w:t>▲</w:t>
            </w:r>
          </w:p>
        </w:tc>
        <w:tc>
          <w:tcPr>
            <w:tcW w:w="643" w:type="pct"/>
            <w:shd w:val="clear" w:color="auto" w:fill="auto"/>
            <w:vAlign w:val="center"/>
          </w:tcPr>
          <w:p w14:paraId="41A6C752">
            <w:pPr>
              <w:pStyle w:val="41"/>
              <w:numPr>
                <w:ilvl w:val="0"/>
                <w:numId w:val="0"/>
              </w:numPr>
              <w:tabs>
                <w:tab w:val="center" w:pos="4201"/>
                <w:tab w:val="right" w:leader="dot" w:pos="9298"/>
              </w:tabs>
              <w:ind w:left="0" w:leftChars="0" w:firstLine="0" w:firstLineChars="0"/>
              <w:jc w:val="center"/>
              <w:rPr>
                <w:rFonts w:ascii="宋体" w:hAnsi="Times New Roman" w:eastAsia="宋体" w:cs="Times New Roman"/>
                <w:color w:val="auto"/>
                <w:sz w:val="18"/>
                <w:szCs w:val="18"/>
                <w:lang w:val="en-US" w:eastAsia="zh-CN" w:bidi="ar-SA"/>
              </w:rPr>
            </w:pPr>
            <w:r>
              <w:rPr>
                <w:rFonts w:hint="eastAsia"/>
                <w:color w:val="auto"/>
                <w:sz w:val="18"/>
                <w:szCs w:val="18"/>
                <w:lang w:eastAsia="zh-CN"/>
              </w:rPr>
              <w:t>○</w:t>
            </w:r>
          </w:p>
        </w:tc>
      </w:tr>
      <w:tr w14:paraId="1118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6" w:type="pct"/>
            <w:vAlign w:val="center"/>
          </w:tcPr>
          <w:p w14:paraId="1B421FCF">
            <w:pPr>
              <w:pStyle w:val="41"/>
              <w:numPr>
                <w:ilvl w:val="0"/>
                <w:numId w:val="0"/>
              </w:numPr>
              <w:tabs>
                <w:tab w:val="center" w:pos="4201"/>
                <w:tab w:val="right" w:leader="dot" w:pos="9298"/>
              </w:tabs>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污水管线关键节点</w:t>
            </w:r>
          </w:p>
        </w:tc>
        <w:tc>
          <w:tcPr>
            <w:tcW w:w="642" w:type="pct"/>
            <w:shd w:val="clear" w:color="auto" w:fill="auto"/>
            <w:vAlign w:val="center"/>
          </w:tcPr>
          <w:p w14:paraId="3B9DFDC0">
            <w:pPr>
              <w:pStyle w:val="41"/>
              <w:numPr>
                <w:ilvl w:val="0"/>
                <w:numId w:val="0"/>
              </w:numPr>
              <w:tabs>
                <w:tab w:val="center" w:pos="4201"/>
                <w:tab w:val="right" w:leader="dot" w:pos="9298"/>
              </w:tabs>
              <w:ind w:left="0" w:leftChars="0" w:firstLine="0" w:firstLineChars="0"/>
              <w:jc w:val="center"/>
              <w:rPr>
                <w:rFonts w:hint="default" w:ascii="宋体" w:hAnsi="宋体" w:eastAsia="宋体" w:cs="宋体"/>
                <w:color w:val="auto"/>
                <w:sz w:val="18"/>
                <w:szCs w:val="18"/>
                <w:vertAlign w:val="baseline"/>
                <w:lang w:val="en-US" w:eastAsia="zh-CN" w:bidi="ar-SA"/>
              </w:rPr>
            </w:pPr>
            <w:r>
              <w:rPr>
                <w:rFonts w:hint="default" w:hAnsi="宋体" w:eastAsia="宋体" w:cs="宋体"/>
                <w:color w:val="auto"/>
                <w:sz w:val="18"/>
                <w:szCs w:val="18"/>
                <w:vertAlign w:val="baseline"/>
                <w:lang w:val="en-US" w:eastAsia="zh-CN"/>
              </w:rPr>
              <w:t>●</w:t>
            </w:r>
          </w:p>
        </w:tc>
        <w:tc>
          <w:tcPr>
            <w:tcW w:w="642" w:type="pct"/>
            <w:shd w:val="clear" w:color="auto" w:fill="auto"/>
            <w:vAlign w:val="center"/>
          </w:tcPr>
          <w:p w14:paraId="2402D032">
            <w:pPr>
              <w:pStyle w:val="41"/>
              <w:numPr>
                <w:ilvl w:val="0"/>
                <w:numId w:val="0"/>
              </w:numPr>
              <w:tabs>
                <w:tab w:val="center" w:pos="4201"/>
                <w:tab w:val="right" w:leader="dot" w:pos="9298"/>
              </w:tabs>
              <w:ind w:left="0" w:leftChars="0" w:firstLine="0" w:firstLineChars="0"/>
              <w:jc w:val="center"/>
              <w:rPr>
                <w:rFonts w:hint="default" w:ascii="宋体" w:hAnsi="宋体" w:eastAsia="宋体" w:cs="宋体"/>
                <w:color w:val="auto"/>
                <w:sz w:val="18"/>
                <w:szCs w:val="18"/>
                <w:vertAlign w:val="baseline"/>
                <w:lang w:val="en-US" w:eastAsia="zh-CN" w:bidi="ar-SA"/>
              </w:rPr>
            </w:pPr>
            <w:r>
              <w:rPr>
                <w:rFonts w:hint="default" w:hAnsi="宋体" w:eastAsia="宋体" w:cs="宋体"/>
                <w:color w:val="auto"/>
                <w:sz w:val="18"/>
                <w:szCs w:val="18"/>
                <w:vertAlign w:val="baseline"/>
                <w:lang w:val="en-US" w:eastAsia="zh-CN"/>
              </w:rPr>
              <w:t>●</w:t>
            </w:r>
          </w:p>
        </w:tc>
        <w:tc>
          <w:tcPr>
            <w:tcW w:w="642" w:type="pct"/>
            <w:vAlign w:val="center"/>
          </w:tcPr>
          <w:p w14:paraId="0A05DD43">
            <w:pPr>
              <w:pStyle w:val="41"/>
              <w:numPr>
                <w:ilvl w:val="0"/>
                <w:numId w:val="0"/>
              </w:numPr>
              <w:tabs>
                <w:tab w:val="center" w:pos="4201"/>
                <w:tab w:val="right" w:leader="dot" w:pos="9298"/>
              </w:tabs>
              <w:ind w:left="0" w:leftChars="0" w:firstLine="0" w:firstLineChars="0"/>
              <w:jc w:val="center"/>
              <w:rPr>
                <w:color w:val="auto"/>
                <w:sz w:val="18"/>
                <w:szCs w:val="18"/>
              </w:rPr>
            </w:pPr>
            <w:r>
              <w:rPr>
                <w:rFonts w:hint="eastAsia"/>
                <w:color w:val="auto"/>
                <w:sz w:val="18"/>
                <w:szCs w:val="18"/>
                <w:lang w:eastAsia="zh-CN"/>
              </w:rPr>
              <w:t>○</w:t>
            </w:r>
          </w:p>
        </w:tc>
        <w:tc>
          <w:tcPr>
            <w:tcW w:w="642" w:type="pct"/>
            <w:shd w:val="clear" w:color="auto" w:fill="auto"/>
            <w:vAlign w:val="center"/>
          </w:tcPr>
          <w:p w14:paraId="560FD845">
            <w:pPr>
              <w:pStyle w:val="41"/>
              <w:numPr>
                <w:ilvl w:val="0"/>
                <w:numId w:val="0"/>
              </w:numPr>
              <w:tabs>
                <w:tab w:val="center" w:pos="4201"/>
                <w:tab w:val="right" w:leader="dot" w:pos="9298"/>
              </w:tabs>
              <w:ind w:left="0" w:leftChars="0" w:firstLine="0" w:firstLineChars="0"/>
              <w:jc w:val="center"/>
              <w:rPr>
                <w:rFonts w:hint="default" w:ascii="宋体" w:hAnsi="宋体" w:eastAsia="宋体" w:cs="宋体"/>
                <w:color w:val="auto"/>
                <w:sz w:val="18"/>
                <w:szCs w:val="18"/>
                <w:vertAlign w:val="baseline"/>
                <w:lang w:val="en-US" w:eastAsia="zh-CN" w:bidi="ar-SA"/>
              </w:rPr>
            </w:pPr>
            <w:r>
              <w:rPr>
                <w:rFonts w:hint="default" w:hAnsi="宋体" w:eastAsia="宋体" w:cs="宋体"/>
                <w:color w:val="auto"/>
                <w:sz w:val="18"/>
                <w:szCs w:val="18"/>
                <w:vertAlign w:val="baseline"/>
                <w:lang w:val="en-US" w:eastAsia="zh-CN"/>
              </w:rPr>
              <w:t>●</w:t>
            </w:r>
          </w:p>
        </w:tc>
        <w:tc>
          <w:tcPr>
            <w:tcW w:w="642" w:type="pct"/>
            <w:shd w:val="clear" w:color="auto" w:fill="auto"/>
            <w:vAlign w:val="center"/>
          </w:tcPr>
          <w:p w14:paraId="2D55CBD3">
            <w:pPr>
              <w:pStyle w:val="41"/>
              <w:numPr>
                <w:ilvl w:val="0"/>
                <w:numId w:val="0"/>
              </w:numPr>
              <w:tabs>
                <w:tab w:val="center" w:pos="4201"/>
                <w:tab w:val="right" w:leader="dot" w:pos="9298"/>
              </w:tabs>
              <w:ind w:left="0" w:leftChars="0" w:firstLine="0" w:firstLineChars="0"/>
              <w:jc w:val="center"/>
              <w:rPr>
                <w:rFonts w:ascii="宋体" w:hAnsi="Times New Roman" w:eastAsia="宋体" w:cs="Times New Roman"/>
                <w:color w:val="auto"/>
                <w:sz w:val="18"/>
                <w:szCs w:val="18"/>
                <w:lang w:val="en-US" w:eastAsia="zh-CN" w:bidi="ar-SA"/>
              </w:rPr>
            </w:pPr>
            <w:r>
              <w:rPr>
                <w:rFonts w:hint="eastAsia"/>
                <w:color w:val="auto"/>
                <w:sz w:val="18"/>
                <w:szCs w:val="18"/>
                <w:lang w:val="en-US" w:eastAsia="zh-CN"/>
              </w:rPr>
              <w:t>▲</w:t>
            </w:r>
          </w:p>
        </w:tc>
        <w:tc>
          <w:tcPr>
            <w:tcW w:w="643" w:type="pct"/>
            <w:shd w:val="clear" w:color="auto" w:fill="auto"/>
            <w:vAlign w:val="center"/>
          </w:tcPr>
          <w:p w14:paraId="3E3C78F2">
            <w:pPr>
              <w:pStyle w:val="41"/>
              <w:numPr>
                <w:ilvl w:val="0"/>
                <w:numId w:val="0"/>
              </w:numPr>
              <w:tabs>
                <w:tab w:val="center" w:pos="4201"/>
                <w:tab w:val="right" w:leader="dot" w:pos="9298"/>
              </w:tabs>
              <w:ind w:left="0" w:leftChars="0" w:firstLine="0" w:firstLineChars="0"/>
              <w:jc w:val="center"/>
              <w:rPr>
                <w:rFonts w:ascii="宋体" w:hAnsi="Times New Roman" w:eastAsia="宋体" w:cs="Times New Roman"/>
                <w:color w:val="auto"/>
                <w:sz w:val="18"/>
                <w:szCs w:val="18"/>
                <w:lang w:val="en-US" w:eastAsia="zh-CN" w:bidi="ar-SA"/>
              </w:rPr>
            </w:pPr>
            <w:r>
              <w:rPr>
                <w:rFonts w:hint="eastAsia"/>
                <w:color w:val="auto"/>
                <w:sz w:val="18"/>
                <w:szCs w:val="18"/>
                <w:lang w:eastAsia="zh-CN"/>
              </w:rPr>
              <w:t>○</w:t>
            </w:r>
          </w:p>
        </w:tc>
      </w:tr>
      <w:tr w14:paraId="7D6BC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6" w:type="pct"/>
            <w:vAlign w:val="center"/>
          </w:tcPr>
          <w:p w14:paraId="5127CD37">
            <w:pPr>
              <w:pStyle w:val="41"/>
              <w:numPr>
                <w:ilvl w:val="0"/>
                <w:numId w:val="0"/>
              </w:numPr>
              <w:tabs>
                <w:tab w:val="center" w:pos="4201"/>
                <w:tab w:val="right" w:leader="dot" w:pos="9298"/>
              </w:tabs>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合流管线关键节点</w:t>
            </w:r>
          </w:p>
        </w:tc>
        <w:tc>
          <w:tcPr>
            <w:tcW w:w="642" w:type="pct"/>
            <w:shd w:val="clear" w:color="auto" w:fill="auto"/>
            <w:vAlign w:val="center"/>
          </w:tcPr>
          <w:p w14:paraId="3CD4E170">
            <w:pPr>
              <w:pStyle w:val="41"/>
              <w:numPr>
                <w:ilvl w:val="0"/>
                <w:numId w:val="0"/>
              </w:numPr>
              <w:tabs>
                <w:tab w:val="center" w:pos="4201"/>
                <w:tab w:val="right" w:leader="dot" w:pos="9298"/>
              </w:tabs>
              <w:ind w:left="0" w:leftChars="0" w:firstLine="0" w:firstLineChars="0"/>
              <w:jc w:val="center"/>
              <w:rPr>
                <w:rFonts w:hint="default" w:ascii="宋体" w:hAnsi="宋体" w:eastAsia="宋体" w:cs="宋体"/>
                <w:color w:val="auto"/>
                <w:sz w:val="18"/>
                <w:szCs w:val="18"/>
                <w:vertAlign w:val="baseline"/>
                <w:lang w:val="en-US" w:eastAsia="zh-CN" w:bidi="ar-SA"/>
              </w:rPr>
            </w:pPr>
            <w:r>
              <w:rPr>
                <w:rFonts w:hint="default" w:hAnsi="宋体" w:eastAsia="宋体" w:cs="宋体"/>
                <w:color w:val="auto"/>
                <w:sz w:val="18"/>
                <w:szCs w:val="18"/>
                <w:vertAlign w:val="baseline"/>
                <w:lang w:val="en-US" w:eastAsia="zh-CN"/>
              </w:rPr>
              <w:t>●</w:t>
            </w:r>
          </w:p>
        </w:tc>
        <w:tc>
          <w:tcPr>
            <w:tcW w:w="642" w:type="pct"/>
            <w:shd w:val="clear" w:color="auto" w:fill="auto"/>
            <w:vAlign w:val="center"/>
          </w:tcPr>
          <w:p w14:paraId="790F92B0">
            <w:pPr>
              <w:pStyle w:val="41"/>
              <w:numPr>
                <w:ilvl w:val="0"/>
                <w:numId w:val="0"/>
              </w:numPr>
              <w:tabs>
                <w:tab w:val="center" w:pos="4201"/>
                <w:tab w:val="right" w:leader="dot" w:pos="9298"/>
              </w:tabs>
              <w:ind w:left="0" w:leftChars="0" w:firstLine="0" w:firstLineChars="0"/>
              <w:jc w:val="center"/>
              <w:rPr>
                <w:rFonts w:hint="default" w:ascii="宋体" w:hAnsi="宋体" w:eastAsia="宋体" w:cs="宋体"/>
                <w:color w:val="auto"/>
                <w:sz w:val="18"/>
                <w:szCs w:val="18"/>
                <w:vertAlign w:val="baseline"/>
                <w:lang w:val="en-US" w:eastAsia="zh-CN" w:bidi="ar-SA"/>
              </w:rPr>
            </w:pPr>
            <w:r>
              <w:rPr>
                <w:rFonts w:hint="default" w:hAnsi="宋体" w:eastAsia="宋体" w:cs="宋体"/>
                <w:color w:val="auto"/>
                <w:sz w:val="18"/>
                <w:szCs w:val="18"/>
                <w:vertAlign w:val="baseline"/>
                <w:lang w:val="en-US" w:eastAsia="zh-CN"/>
              </w:rPr>
              <w:t>●</w:t>
            </w:r>
          </w:p>
        </w:tc>
        <w:tc>
          <w:tcPr>
            <w:tcW w:w="642" w:type="pct"/>
            <w:vAlign w:val="center"/>
          </w:tcPr>
          <w:p w14:paraId="4C85B975">
            <w:pPr>
              <w:pStyle w:val="41"/>
              <w:numPr>
                <w:ilvl w:val="0"/>
                <w:numId w:val="0"/>
              </w:numPr>
              <w:tabs>
                <w:tab w:val="center" w:pos="4201"/>
                <w:tab w:val="right" w:leader="dot" w:pos="9298"/>
              </w:tabs>
              <w:jc w:val="center"/>
              <w:rPr>
                <w:color w:val="auto"/>
                <w:sz w:val="18"/>
                <w:szCs w:val="18"/>
              </w:rPr>
            </w:pPr>
            <w:r>
              <w:rPr>
                <w:rFonts w:hint="eastAsia"/>
                <w:color w:val="auto"/>
                <w:sz w:val="18"/>
                <w:szCs w:val="18"/>
                <w:lang w:eastAsia="zh-CN"/>
              </w:rPr>
              <w:t>○</w:t>
            </w:r>
          </w:p>
        </w:tc>
        <w:tc>
          <w:tcPr>
            <w:tcW w:w="642" w:type="pct"/>
            <w:shd w:val="clear" w:color="auto" w:fill="auto"/>
            <w:vAlign w:val="center"/>
          </w:tcPr>
          <w:p w14:paraId="2E7C1169">
            <w:pPr>
              <w:pStyle w:val="41"/>
              <w:numPr>
                <w:ilvl w:val="0"/>
                <w:numId w:val="0"/>
              </w:numPr>
              <w:tabs>
                <w:tab w:val="center" w:pos="4201"/>
                <w:tab w:val="right" w:leader="dot" w:pos="9298"/>
              </w:tabs>
              <w:ind w:left="0" w:leftChars="0" w:firstLine="0" w:firstLineChars="0"/>
              <w:jc w:val="center"/>
              <w:rPr>
                <w:rFonts w:hint="default" w:ascii="宋体" w:hAnsi="宋体" w:eastAsia="宋体" w:cs="宋体"/>
                <w:color w:val="auto"/>
                <w:sz w:val="18"/>
                <w:szCs w:val="18"/>
                <w:vertAlign w:val="baseline"/>
                <w:lang w:val="en-US" w:eastAsia="zh-CN" w:bidi="ar-SA"/>
              </w:rPr>
            </w:pPr>
            <w:r>
              <w:rPr>
                <w:rFonts w:hint="default" w:hAnsi="宋体" w:eastAsia="宋体" w:cs="宋体"/>
                <w:color w:val="auto"/>
                <w:sz w:val="18"/>
                <w:szCs w:val="18"/>
                <w:vertAlign w:val="baseline"/>
                <w:lang w:val="en-US" w:eastAsia="zh-CN"/>
              </w:rPr>
              <w:t>●</w:t>
            </w:r>
          </w:p>
        </w:tc>
        <w:tc>
          <w:tcPr>
            <w:tcW w:w="642" w:type="pct"/>
            <w:shd w:val="clear" w:color="auto" w:fill="auto"/>
            <w:vAlign w:val="center"/>
          </w:tcPr>
          <w:p w14:paraId="3017F207">
            <w:pPr>
              <w:pStyle w:val="41"/>
              <w:numPr>
                <w:ilvl w:val="0"/>
                <w:numId w:val="0"/>
              </w:numPr>
              <w:tabs>
                <w:tab w:val="center" w:pos="4201"/>
                <w:tab w:val="right" w:leader="dot" w:pos="9298"/>
              </w:tabs>
              <w:ind w:left="0" w:leftChars="0" w:firstLine="0" w:firstLineChars="0"/>
              <w:jc w:val="center"/>
              <w:rPr>
                <w:rFonts w:ascii="宋体" w:hAnsi="Times New Roman" w:eastAsia="宋体" w:cs="Times New Roman"/>
                <w:color w:val="auto"/>
                <w:sz w:val="18"/>
                <w:szCs w:val="18"/>
                <w:lang w:val="en-US" w:eastAsia="zh-CN" w:bidi="ar-SA"/>
              </w:rPr>
            </w:pPr>
            <w:r>
              <w:rPr>
                <w:rFonts w:hint="eastAsia"/>
                <w:color w:val="auto"/>
                <w:sz w:val="18"/>
                <w:szCs w:val="18"/>
                <w:lang w:val="en-US" w:eastAsia="zh-CN"/>
              </w:rPr>
              <w:t>▲</w:t>
            </w:r>
          </w:p>
        </w:tc>
        <w:tc>
          <w:tcPr>
            <w:tcW w:w="643" w:type="pct"/>
            <w:shd w:val="clear" w:color="auto" w:fill="auto"/>
            <w:vAlign w:val="center"/>
          </w:tcPr>
          <w:p w14:paraId="0D002E1A">
            <w:pPr>
              <w:pStyle w:val="41"/>
              <w:numPr>
                <w:ilvl w:val="0"/>
                <w:numId w:val="0"/>
              </w:numPr>
              <w:tabs>
                <w:tab w:val="center" w:pos="4201"/>
                <w:tab w:val="right" w:leader="dot" w:pos="9298"/>
              </w:tabs>
              <w:ind w:left="0" w:leftChars="0" w:firstLine="0" w:firstLineChars="0"/>
              <w:jc w:val="center"/>
              <w:rPr>
                <w:rFonts w:ascii="宋体" w:hAnsi="Times New Roman" w:eastAsia="宋体" w:cs="Times New Roman"/>
                <w:color w:val="auto"/>
                <w:sz w:val="18"/>
                <w:szCs w:val="18"/>
                <w:lang w:val="en-US" w:eastAsia="zh-CN" w:bidi="ar-SA"/>
              </w:rPr>
            </w:pPr>
            <w:r>
              <w:rPr>
                <w:rFonts w:hint="eastAsia"/>
                <w:color w:val="auto"/>
                <w:sz w:val="18"/>
                <w:szCs w:val="18"/>
                <w:lang w:eastAsia="zh-CN"/>
              </w:rPr>
              <w:t>○</w:t>
            </w:r>
          </w:p>
        </w:tc>
      </w:tr>
      <w:tr w14:paraId="75C6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6" w:type="pct"/>
            <w:vAlign w:val="center"/>
          </w:tcPr>
          <w:p w14:paraId="44D20B8B">
            <w:pPr>
              <w:pStyle w:val="41"/>
              <w:numPr>
                <w:ilvl w:val="0"/>
                <w:numId w:val="0"/>
              </w:numPr>
              <w:tabs>
                <w:tab w:val="center" w:pos="4201"/>
                <w:tab w:val="right" w:leader="dot" w:pos="9298"/>
              </w:tabs>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重点排水户</w:t>
            </w:r>
          </w:p>
        </w:tc>
        <w:tc>
          <w:tcPr>
            <w:tcW w:w="642" w:type="pct"/>
            <w:vAlign w:val="center"/>
          </w:tcPr>
          <w:p w14:paraId="79C2963D">
            <w:pPr>
              <w:pStyle w:val="41"/>
              <w:numPr>
                <w:ilvl w:val="0"/>
                <w:numId w:val="0"/>
              </w:numPr>
              <w:tabs>
                <w:tab w:val="center" w:pos="4201"/>
                <w:tab w:val="right" w:leader="dot" w:pos="9298"/>
              </w:tabs>
              <w:jc w:val="center"/>
              <w:rPr>
                <w:color w:val="auto"/>
                <w:sz w:val="18"/>
                <w:szCs w:val="18"/>
              </w:rPr>
            </w:pPr>
            <w:r>
              <w:rPr>
                <w:rFonts w:hint="eastAsia"/>
                <w:color w:val="auto"/>
                <w:sz w:val="18"/>
                <w:szCs w:val="18"/>
                <w:lang w:val="en-US" w:eastAsia="zh-CN"/>
              </w:rPr>
              <w:t>▲</w:t>
            </w:r>
          </w:p>
        </w:tc>
        <w:tc>
          <w:tcPr>
            <w:tcW w:w="642" w:type="pct"/>
            <w:shd w:val="clear" w:color="auto" w:fill="auto"/>
            <w:vAlign w:val="center"/>
          </w:tcPr>
          <w:p w14:paraId="279AB3D0">
            <w:pPr>
              <w:pStyle w:val="41"/>
              <w:numPr>
                <w:ilvl w:val="0"/>
                <w:numId w:val="0"/>
              </w:numPr>
              <w:tabs>
                <w:tab w:val="center" w:pos="4201"/>
                <w:tab w:val="right" w:leader="dot" w:pos="9298"/>
              </w:tabs>
              <w:ind w:left="0" w:leftChars="0" w:firstLine="0" w:firstLineChars="0"/>
              <w:jc w:val="center"/>
              <w:rPr>
                <w:rFonts w:hint="default" w:ascii="宋体" w:hAnsi="宋体" w:eastAsia="宋体" w:cs="宋体"/>
                <w:color w:val="auto"/>
                <w:sz w:val="18"/>
                <w:szCs w:val="18"/>
                <w:vertAlign w:val="baseline"/>
                <w:lang w:val="en-US" w:eastAsia="zh-CN" w:bidi="ar-SA"/>
              </w:rPr>
            </w:pPr>
            <w:r>
              <w:rPr>
                <w:rFonts w:hint="default" w:hAnsi="宋体" w:eastAsia="宋体" w:cs="宋体"/>
                <w:color w:val="auto"/>
                <w:sz w:val="18"/>
                <w:szCs w:val="18"/>
                <w:vertAlign w:val="baseline"/>
                <w:lang w:val="en-US" w:eastAsia="zh-CN"/>
              </w:rPr>
              <w:t>●</w:t>
            </w:r>
          </w:p>
        </w:tc>
        <w:tc>
          <w:tcPr>
            <w:tcW w:w="642" w:type="pct"/>
            <w:shd w:val="clear" w:color="auto" w:fill="auto"/>
            <w:vAlign w:val="center"/>
          </w:tcPr>
          <w:p w14:paraId="06BE649A">
            <w:pPr>
              <w:pStyle w:val="41"/>
              <w:numPr>
                <w:ilvl w:val="0"/>
                <w:numId w:val="0"/>
              </w:numPr>
              <w:tabs>
                <w:tab w:val="center" w:pos="4201"/>
                <w:tab w:val="right" w:leader="dot" w:pos="9298"/>
              </w:tabs>
              <w:ind w:left="0" w:leftChars="0" w:firstLine="0" w:firstLineChars="0"/>
              <w:jc w:val="center"/>
              <w:rPr>
                <w:rFonts w:hint="default" w:ascii="宋体" w:hAnsi="Times New Roman" w:eastAsia="宋体" w:cs="Times New Roman"/>
                <w:color w:val="auto"/>
                <w:sz w:val="18"/>
                <w:szCs w:val="18"/>
                <w:lang w:val="en-US" w:eastAsia="zh-CN" w:bidi="ar-SA"/>
              </w:rPr>
            </w:pPr>
            <w:r>
              <w:rPr>
                <w:rFonts w:hint="eastAsia"/>
                <w:color w:val="auto"/>
                <w:sz w:val="18"/>
                <w:szCs w:val="18"/>
                <w:lang w:eastAsia="zh-CN"/>
              </w:rPr>
              <w:t>○</w:t>
            </w:r>
          </w:p>
        </w:tc>
        <w:tc>
          <w:tcPr>
            <w:tcW w:w="642" w:type="pct"/>
            <w:shd w:val="clear" w:color="auto" w:fill="auto"/>
            <w:vAlign w:val="center"/>
          </w:tcPr>
          <w:p w14:paraId="6F1D3496">
            <w:pPr>
              <w:pStyle w:val="41"/>
              <w:numPr>
                <w:ilvl w:val="0"/>
                <w:numId w:val="0"/>
              </w:numPr>
              <w:tabs>
                <w:tab w:val="center" w:pos="4201"/>
                <w:tab w:val="right" w:leader="dot" w:pos="9298"/>
              </w:tabs>
              <w:ind w:left="0" w:leftChars="0" w:firstLine="0" w:firstLineChars="0"/>
              <w:jc w:val="center"/>
              <w:rPr>
                <w:rFonts w:hint="default" w:ascii="宋体" w:hAnsi="宋体" w:eastAsia="宋体" w:cs="宋体"/>
                <w:color w:val="auto"/>
                <w:sz w:val="18"/>
                <w:szCs w:val="18"/>
                <w:vertAlign w:val="baseline"/>
                <w:lang w:val="en-US" w:eastAsia="zh-CN" w:bidi="ar-SA"/>
              </w:rPr>
            </w:pPr>
            <w:r>
              <w:rPr>
                <w:rFonts w:hint="default" w:hAnsi="宋体" w:eastAsia="宋体" w:cs="宋体"/>
                <w:color w:val="auto"/>
                <w:sz w:val="18"/>
                <w:szCs w:val="18"/>
                <w:vertAlign w:val="baseline"/>
                <w:lang w:val="en-US" w:eastAsia="zh-CN"/>
              </w:rPr>
              <w:t>●</w:t>
            </w:r>
          </w:p>
        </w:tc>
        <w:tc>
          <w:tcPr>
            <w:tcW w:w="642" w:type="pct"/>
            <w:shd w:val="clear" w:color="auto" w:fill="auto"/>
            <w:vAlign w:val="center"/>
          </w:tcPr>
          <w:p w14:paraId="642D29A9">
            <w:pPr>
              <w:pStyle w:val="41"/>
              <w:numPr>
                <w:ilvl w:val="0"/>
                <w:numId w:val="0"/>
              </w:numPr>
              <w:tabs>
                <w:tab w:val="center" w:pos="4201"/>
                <w:tab w:val="right" w:leader="dot" w:pos="9298"/>
              </w:tabs>
              <w:ind w:left="0" w:leftChars="0" w:firstLine="0" w:firstLineChars="0"/>
              <w:jc w:val="center"/>
              <w:rPr>
                <w:rFonts w:ascii="宋体" w:hAnsi="Times New Roman" w:eastAsia="宋体" w:cs="Times New Roman"/>
                <w:color w:val="auto"/>
                <w:sz w:val="18"/>
                <w:szCs w:val="18"/>
                <w:lang w:val="en-US" w:eastAsia="zh-CN" w:bidi="ar-SA"/>
              </w:rPr>
            </w:pPr>
            <w:r>
              <w:rPr>
                <w:rFonts w:hint="eastAsia"/>
                <w:color w:val="auto"/>
                <w:sz w:val="18"/>
                <w:szCs w:val="18"/>
                <w:lang w:eastAsia="zh-CN"/>
              </w:rPr>
              <w:t>○</w:t>
            </w:r>
          </w:p>
        </w:tc>
        <w:tc>
          <w:tcPr>
            <w:tcW w:w="643" w:type="pct"/>
            <w:shd w:val="clear" w:color="auto" w:fill="auto"/>
            <w:vAlign w:val="center"/>
          </w:tcPr>
          <w:p w14:paraId="318AC4CE">
            <w:pPr>
              <w:pStyle w:val="41"/>
              <w:numPr>
                <w:ilvl w:val="0"/>
                <w:numId w:val="0"/>
              </w:numPr>
              <w:tabs>
                <w:tab w:val="center" w:pos="4201"/>
                <w:tab w:val="right" w:leader="dot" w:pos="9298"/>
              </w:tabs>
              <w:ind w:left="0" w:leftChars="0" w:firstLine="0" w:firstLineChars="0"/>
              <w:jc w:val="center"/>
              <w:rPr>
                <w:rFonts w:ascii="宋体" w:hAnsi="Times New Roman" w:eastAsia="宋体" w:cs="Times New Roman"/>
                <w:color w:val="auto"/>
                <w:sz w:val="18"/>
                <w:szCs w:val="18"/>
                <w:lang w:val="en-US" w:eastAsia="zh-CN" w:bidi="ar-SA"/>
              </w:rPr>
            </w:pPr>
            <w:r>
              <w:rPr>
                <w:rFonts w:hint="eastAsia"/>
                <w:color w:val="auto"/>
                <w:sz w:val="18"/>
                <w:szCs w:val="18"/>
                <w:lang w:eastAsia="zh-CN"/>
              </w:rPr>
              <w:t>○</w:t>
            </w:r>
          </w:p>
        </w:tc>
      </w:tr>
      <w:tr w14:paraId="524E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7"/>
            <w:vAlign w:val="center"/>
          </w:tcPr>
          <w:p w14:paraId="024B8C67">
            <w:pPr>
              <w:pStyle w:val="41"/>
              <w:numPr>
                <w:ilvl w:val="0"/>
                <w:numId w:val="0"/>
              </w:numPr>
              <w:tabs>
                <w:tab w:val="center" w:pos="4201"/>
                <w:tab w:val="right" w:leader="dot" w:pos="9298"/>
              </w:tabs>
              <w:jc w:val="left"/>
              <w:rPr>
                <w:rFonts w:hint="eastAsia"/>
                <w:color w:val="auto"/>
                <w:sz w:val="18"/>
                <w:szCs w:val="18"/>
                <w:lang w:eastAsia="zh-CN"/>
              </w:rPr>
            </w:pPr>
            <w:r>
              <w:rPr>
                <w:rFonts w:hint="eastAsia" w:ascii="黑体" w:hAnsi="黑体" w:eastAsia="黑体" w:cs="黑体"/>
                <w:color w:val="auto"/>
                <w:sz w:val="18"/>
                <w:szCs w:val="18"/>
                <w:lang w:val="en-US" w:eastAsia="zh-CN"/>
              </w:rPr>
              <w:t>注：</w:t>
            </w:r>
            <w:r>
              <w:rPr>
                <w:rFonts w:hint="eastAsia" w:hAnsi="宋体" w:cs="宋体"/>
                <w:color w:val="auto"/>
                <w:szCs w:val="21"/>
                <w:lang w:val="en-US" w:eastAsia="zh-CN"/>
              </w:rPr>
              <w:t xml:space="preserve"> </w:t>
            </w:r>
            <w:r>
              <w:rPr>
                <w:rFonts w:hint="eastAsia" w:hAnsi="宋体" w:cs="宋体"/>
                <w:color w:val="auto"/>
                <w:sz w:val="18"/>
                <w:szCs w:val="18"/>
                <w:lang w:val="en-US" w:eastAsia="zh-CN"/>
              </w:rPr>
              <w:t>● 表示应设置监测指标，▲表示宜设置监测指标，○表示可不考虑设置监测指标。</w:t>
            </w:r>
          </w:p>
        </w:tc>
      </w:tr>
    </w:tbl>
    <w:p w14:paraId="3B5F99EE">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6.3.</w:t>
      </w:r>
      <w:r>
        <w:rPr>
          <w:rFonts w:hint="eastAsia" w:hAnsi="宋体" w:cs="宋体"/>
          <w:color w:val="auto"/>
          <w:lang w:val="en-US" w:eastAsia="zh-CN"/>
        </w:rPr>
        <w:t>4</w:t>
      </w:r>
      <w:r>
        <w:rPr>
          <w:rFonts w:hint="eastAsia" w:hAnsi="宋体" w:eastAsia="宋体" w:cs="宋体"/>
          <w:color w:val="auto"/>
          <w:lang w:val="en-US" w:eastAsia="zh-CN"/>
        </w:rPr>
        <w:t xml:space="preserve"> 排水管线</w:t>
      </w:r>
      <w:r>
        <w:rPr>
          <w:rFonts w:hint="eastAsia" w:ascii="宋体" w:hAnsi="宋体" w:eastAsia="宋体" w:cs="宋体"/>
          <w:color w:val="auto"/>
          <w:lang w:val="en-US" w:eastAsia="zh-CN"/>
        </w:rPr>
        <w:t>监测布点间距应根据管道功能划分，主次干管每隔5</w:t>
      </w:r>
      <w:r>
        <w:rPr>
          <w:rFonts w:hint="eastAsia" w:hAnsi="宋体" w:cs="宋体"/>
          <w:color w:val="auto"/>
          <w:lang w:val="en-US" w:eastAsia="zh-CN"/>
        </w:rPr>
        <w:t>k</w:t>
      </w:r>
      <w:r>
        <w:rPr>
          <w:rFonts w:hint="eastAsia" w:ascii="宋体" w:hAnsi="宋体" w:eastAsia="宋体" w:cs="宋体"/>
          <w:color w:val="auto"/>
          <w:lang w:val="en-US" w:eastAsia="zh-CN"/>
        </w:rPr>
        <w:t>m长度宜布设不少于1个监测点位。</w:t>
      </w:r>
    </w:p>
    <w:p w14:paraId="11EFCAD8">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6.3.</w:t>
      </w:r>
      <w:r>
        <w:rPr>
          <w:rFonts w:hint="eastAsia" w:hAnsi="宋体" w:cs="宋体"/>
          <w:color w:val="auto"/>
          <w:lang w:val="en-US" w:eastAsia="zh-CN"/>
        </w:rPr>
        <w:t>5</w:t>
      </w:r>
      <w:r>
        <w:rPr>
          <w:rFonts w:hint="eastAsia" w:hAnsi="宋体" w:eastAsia="宋体" w:cs="宋体"/>
          <w:color w:val="auto"/>
          <w:lang w:val="en-US" w:eastAsia="zh-CN"/>
        </w:rPr>
        <w:t xml:space="preserve"> 排口的监测点位应覆盖所有的合流制排口和不小于DN800的雨水排口，DN800以下的雨水排口可根据实际情况设置监测点。</w:t>
      </w:r>
    </w:p>
    <w:p w14:paraId="44F79DD1">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6.3.</w:t>
      </w:r>
      <w:r>
        <w:rPr>
          <w:rFonts w:hint="eastAsia" w:hAnsi="宋体" w:cs="宋体"/>
          <w:color w:val="auto"/>
          <w:lang w:val="en-US" w:eastAsia="zh-CN"/>
        </w:rPr>
        <w:t>6</w:t>
      </w:r>
      <w:r>
        <w:rPr>
          <w:rFonts w:hint="eastAsia" w:hAnsi="宋体" w:eastAsia="宋体" w:cs="宋体"/>
          <w:color w:val="auto"/>
          <w:lang w:val="en-US" w:eastAsia="zh-CN"/>
        </w:rPr>
        <w:t xml:space="preserve"> 重点排水</w:t>
      </w:r>
      <w:r>
        <w:rPr>
          <w:rFonts w:hint="eastAsia" w:ascii="宋体" w:hAnsi="宋体" w:eastAsia="宋体" w:cs="宋体"/>
          <w:color w:val="auto"/>
          <w:lang w:val="en-US" w:eastAsia="zh-CN"/>
        </w:rPr>
        <w:t>户除表</w:t>
      </w:r>
      <w:r>
        <w:rPr>
          <w:rFonts w:hint="eastAsia" w:hAnsi="宋体" w:cs="宋体"/>
          <w:color w:val="auto"/>
          <w:lang w:val="en-US" w:eastAsia="zh-CN"/>
        </w:rPr>
        <w:t>1</w:t>
      </w:r>
      <w:r>
        <w:rPr>
          <w:rFonts w:hint="eastAsia" w:ascii="宋体" w:hAnsi="宋体" w:eastAsia="宋体" w:cs="宋体"/>
          <w:color w:val="auto"/>
          <w:lang w:val="en-US" w:eastAsia="zh-CN"/>
        </w:rPr>
        <w:t>规定的监测指标外</w:t>
      </w:r>
      <w:r>
        <w:rPr>
          <w:rFonts w:hint="eastAsia" w:hAnsi="宋体" w:eastAsia="宋体" w:cs="宋体"/>
          <w:color w:val="auto"/>
          <w:lang w:val="en-US" w:eastAsia="zh-CN"/>
        </w:rPr>
        <w:t>，应宜根据排水户类别增加特征污染物监测。</w:t>
      </w:r>
    </w:p>
    <w:p w14:paraId="017FDEE1">
      <w:pPr>
        <w:pStyle w:val="40"/>
        <w:spacing w:before="156" w:after="156"/>
        <w:rPr>
          <w:rFonts w:hint="eastAsia"/>
          <w:color w:val="auto"/>
          <w:lang w:val="en-US" w:eastAsia="zh-CN"/>
        </w:rPr>
      </w:pPr>
      <w:r>
        <w:rPr>
          <w:rFonts w:hint="eastAsia"/>
          <w:color w:val="auto"/>
          <w:lang w:val="en-US" w:eastAsia="zh-CN"/>
        </w:rPr>
        <w:t>6.4 智能分流井设施运行监测</w:t>
      </w:r>
    </w:p>
    <w:p w14:paraId="5C2DFEB1">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 xml:space="preserve">6.4.1 </w:t>
      </w:r>
      <w:r>
        <w:rPr>
          <w:rFonts w:hint="eastAsia" w:hAnsi="宋体" w:cs="宋体"/>
          <w:color w:val="auto"/>
          <w:lang w:val="en-US" w:eastAsia="zh-CN"/>
        </w:rPr>
        <w:t>智能</w:t>
      </w:r>
      <w:r>
        <w:rPr>
          <w:rFonts w:hint="eastAsia" w:hAnsi="宋体" w:eastAsia="宋体" w:cs="宋体"/>
          <w:color w:val="auto"/>
          <w:lang w:val="en-US" w:eastAsia="zh-CN"/>
        </w:rPr>
        <w:t>分流</w:t>
      </w:r>
      <w:r>
        <w:rPr>
          <w:rFonts w:hint="eastAsia" w:hAnsi="宋体" w:cs="宋体"/>
          <w:color w:val="auto"/>
          <w:lang w:val="en-US" w:eastAsia="zh-CN"/>
        </w:rPr>
        <w:t>井</w:t>
      </w:r>
      <w:r>
        <w:rPr>
          <w:rFonts w:hint="eastAsia" w:hAnsi="宋体" w:eastAsia="宋体" w:cs="宋体"/>
          <w:color w:val="auto"/>
          <w:lang w:val="en-US" w:eastAsia="zh-CN"/>
        </w:rPr>
        <w:t>设施的运行监测内容应包括下列内容：</w:t>
      </w:r>
    </w:p>
    <w:p w14:paraId="4427F46D">
      <w:pPr>
        <w:pStyle w:val="41"/>
        <w:numPr>
          <w:ilvl w:val="0"/>
          <w:numId w:val="51"/>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lang w:val="en-US" w:eastAsia="zh-CN"/>
        </w:rPr>
        <w:t>实时降雨量；</w:t>
      </w:r>
    </w:p>
    <w:p w14:paraId="25080361">
      <w:pPr>
        <w:pStyle w:val="41"/>
        <w:numPr>
          <w:ilvl w:val="0"/>
          <w:numId w:val="51"/>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lang w:val="en-US" w:eastAsia="zh-CN"/>
        </w:rPr>
        <w:t>分流井内的水位和水质；</w:t>
      </w:r>
    </w:p>
    <w:p w14:paraId="72DB60D4">
      <w:pPr>
        <w:pStyle w:val="41"/>
        <w:numPr>
          <w:ilvl w:val="0"/>
          <w:numId w:val="51"/>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lang w:val="en-US" w:eastAsia="zh-CN"/>
        </w:rPr>
        <w:t>截流量实时监测数据（包括瞬时流量和累计流量）；</w:t>
      </w:r>
    </w:p>
    <w:p w14:paraId="73010E79">
      <w:pPr>
        <w:pStyle w:val="41"/>
        <w:numPr>
          <w:ilvl w:val="0"/>
          <w:numId w:val="51"/>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lang w:val="en-US" w:eastAsia="zh-CN"/>
        </w:rPr>
        <w:t>限流闸门、堰门的运行状态和参数；</w:t>
      </w:r>
    </w:p>
    <w:p w14:paraId="12023CAB">
      <w:pPr>
        <w:pStyle w:val="41"/>
        <w:numPr>
          <w:ilvl w:val="0"/>
          <w:numId w:val="51"/>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lang w:val="en-US" w:eastAsia="zh-CN"/>
        </w:rPr>
        <w:t>井内其他动力设备（如格栅、潜污泵、动力站）的工作状态和参数；</w:t>
      </w:r>
    </w:p>
    <w:p w14:paraId="560AD8AC">
      <w:pPr>
        <w:pStyle w:val="41"/>
        <w:numPr>
          <w:ilvl w:val="0"/>
          <w:numId w:val="51"/>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lang w:val="en-US" w:eastAsia="zh-CN"/>
        </w:rPr>
        <w:t>运行状态视频监控。</w:t>
      </w:r>
    </w:p>
    <w:p w14:paraId="03614851">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 xml:space="preserve">6.4.2 </w:t>
      </w:r>
      <w:r>
        <w:rPr>
          <w:rFonts w:hint="eastAsia" w:hAnsi="宋体" w:cs="宋体"/>
          <w:color w:val="auto"/>
          <w:lang w:val="en-US" w:eastAsia="zh-CN"/>
        </w:rPr>
        <w:t>智能</w:t>
      </w:r>
      <w:r>
        <w:rPr>
          <w:rFonts w:hint="eastAsia" w:hAnsi="宋体" w:eastAsia="宋体" w:cs="宋体"/>
          <w:color w:val="auto"/>
          <w:lang w:val="en-US" w:eastAsia="zh-CN"/>
        </w:rPr>
        <w:t>分流</w:t>
      </w:r>
      <w:r>
        <w:rPr>
          <w:rFonts w:hint="eastAsia" w:hAnsi="宋体" w:cs="宋体"/>
          <w:color w:val="auto"/>
          <w:lang w:val="en-US" w:eastAsia="zh-CN"/>
        </w:rPr>
        <w:t>井</w:t>
      </w:r>
      <w:r>
        <w:rPr>
          <w:rFonts w:hint="eastAsia" w:hAnsi="宋体" w:eastAsia="宋体" w:cs="宋体"/>
          <w:color w:val="auto"/>
          <w:lang w:val="en-US" w:eastAsia="zh-CN"/>
        </w:rPr>
        <w:t>设施的运行数据能够上传，井内的设备应支持手动控制、自动控制和远程控制。</w:t>
      </w:r>
    </w:p>
    <w:p w14:paraId="5B651DF1">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6.4.3 在发生水位超限、旱天污水溢流、设备故障、自控断电时，自控系统应能立即上报预警信息。</w:t>
      </w:r>
    </w:p>
    <w:p w14:paraId="60A1253F">
      <w:pPr>
        <w:pStyle w:val="40"/>
        <w:spacing w:before="156" w:after="156"/>
        <w:rPr>
          <w:rFonts w:hint="eastAsia"/>
          <w:color w:val="auto"/>
          <w:lang w:val="en-US" w:eastAsia="zh-CN"/>
        </w:rPr>
      </w:pPr>
      <w:r>
        <w:rPr>
          <w:rFonts w:hint="eastAsia"/>
          <w:color w:val="auto"/>
          <w:lang w:val="en-US" w:eastAsia="zh-CN"/>
        </w:rPr>
        <w:t>6.5 泵站运行监测</w:t>
      </w:r>
    </w:p>
    <w:p w14:paraId="15B2F44B">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6.5.1 排水泵站的监测内容应包括下列内容：</w:t>
      </w:r>
    </w:p>
    <w:p w14:paraId="6075644D">
      <w:pPr>
        <w:pStyle w:val="41"/>
        <w:numPr>
          <w:ilvl w:val="0"/>
          <w:numId w:val="52"/>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lang w:val="en-US" w:eastAsia="zh-CN"/>
        </w:rPr>
        <w:t>集水池的水位和水质；</w:t>
      </w:r>
    </w:p>
    <w:p w14:paraId="63142B14">
      <w:pPr>
        <w:pStyle w:val="41"/>
        <w:numPr>
          <w:ilvl w:val="0"/>
          <w:numId w:val="52"/>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lang w:val="en-US" w:eastAsia="zh-CN"/>
        </w:rPr>
        <w:t>排水压力和流量；</w:t>
      </w:r>
    </w:p>
    <w:p w14:paraId="274E5393">
      <w:pPr>
        <w:pStyle w:val="41"/>
        <w:numPr>
          <w:ilvl w:val="0"/>
          <w:numId w:val="52"/>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lang w:val="en-US" w:eastAsia="zh-CN"/>
        </w:rPr>
        <w:t>进水闸、格栅和泵组运行状态和参数；</w:t>
      </w:r>
    </w:p>
    <w:p w14:paraId="241D1A5B">
      <w:pPr>
        <w:pStyle w:val="41"/>
        <w:numPr>
          <w:ilvl w:val="0"/>
          <w:numId w:val="52"/>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lang w:val="en-US" w:eastAsia="zh-CN"/>
        </w:rPr>
        <w:t>泵站内的集水池有害气体的浓度；</w:t>
      </w:r>
    </w:p>
    <w:p w14:paraId="5B0E5394">
      <w:pPr>
        <w:pStyle w:val="41"/>
        <w:numPr>
          <w:ilvl w:val="0"/>
          <w:numId w:val="52"/>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lang w:val="en-US" w:eastAsia="zh-CN"/>
        </w:rPr>
        <w:t>运行状态视频监控。</w:t>
      </w:r>
    </w:p>
    <w:p w14:paraId="7D8E2387">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6.5.2 泵站的运行数据能够上传，泵站内的设备应支持手动控制、自动控制和远程控制。</w:t>
      </w:r>
    </w:p>
    <w:p w14:paraId="5D48B924">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6.5.3 泵站内发生水位超限、电流超限、电机超温、自控断电时，泵站内的监测终端应能立即上报预警信息。</w:t>
      </w:r>
    </w:p>
    <w:p w14:paraId="08DF7C2A">
      <w:pPr>
        <w:pStyle w:val="40"/>
        <w:spacing w:before="156" w:after="156"/>
        <w:rPr>
          <w:rFonts w:hint="eastAsia"/>
          <w:color w:val="auto"/>
          <w:lang w:val="en-US" w:eastAsia="zh-CN"/>
        </w:rPr>
      </w:pPr>
      <w:r>
        <w:rPr>
          <w:rFonts w:hint="eastAsia"/>
          <w:color w:val="auto"/>
          <w:lang w:val="en-US" w:eastAsia="zh-CN"/>
        </w:rPr>
        <w:t>6.6 易涝点监测</w:t>
      </w:r>
    </w:p>
    <w:p w14:paraId="76DDE1F1">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6.6.1 易涝点监测应能反应出易涝点积水范围、积水深度和退水时间等情况。</w:t>
      </w:r>
    </w:p>
    <w:p w14:paraId="0178425A">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6.6.2 易涝点监测点位应布置在立交桥底部、下穿道路、隧道、下沉式广场等易积水的位置，应设置水位监测和视频监控。</w:t>
      </w:r>
    </w:p>
    <w:p w14:paraId="74B44BAB">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6.6.3 易涝点视频设备应能满足夜间成像照明要求。</w:t>
      </w:r>
    </w:p>
    <w:p w14:paraId="5EAF086A">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6.6.4 易涝点积水传感器宜采用超声波、雷达、静压式水等监测技术实时监测积水点的深度，监测终端应能实现水位预警及时报送功能。</w:t>
      </w:r>
    </w:p>
    <w:p w14:paraId="4D33EFC5">
      <w:pPr>
        <w:pStyle w:val="40"/>
        <w:spacing w:before="156" w:after="156"/>
        <w:rPr>
          <w:rFonts w:hint="eastAsia"/>
          <w:color w:val="auto"/>
          <w:lang w:val="en-US" w:eastAsia="zh-CN"/>
        </w:rPr>
      </w:pPr>
      <w:r>
        <w:rPr>
          <w:rFonts w:hint="eastAsia"/>
          <w:color w:val="auto"/>
          <w:lang w:val="en-US" w:eastAsia="zh-CN"/>
        </w:rPr>
        <w:t>6.7 井盖状态监测</w:t>
      </w:r>
    </w:p>
    <w:p w14:paraId="1F9EFF20">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6.7.1 井盖状态监测应能监测倾斜、移位、井盖丢失和井口冒溢等状态。</w:t>
      </w:r>
    </w:p>
    <w:p w14:paraId="210E64EE">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6.7.2 井盖状态监测点位布设应按照以下要求：</w:t>
      </w:r>
    </w:p>
    <w:p w14:paraId="3A7C8352">
      <w:pPr>
        <w:pStyle w:val="41"/>
        <w:numPr>
          <w:ilvl w:val="0"/>
          <w:numId w:val="53"/>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lang w:val="en-US" w:eastAsia="zh-CN"/>
        </w:rPr>
        <w:t>人流密集区域宜设置监测点；</w:t>
      </w:r>
    </w:p>
    <w:p w14:paraId="6FF6E212">
      <w:pPr>
        <w:pStyle w:val="41"/>
        <w:numPr>
          <w:ilvl w:val="0"/>
          <w:numId w:val="53"/>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lang w:val="en-US" w:eastAsia="zh-CN"/>
        </w:rPr>
        <w:t>雨污水易冒溢区域应设置监测点；</w:t>
      </w:r>
    </w:p>
    <w:p w14:paraId="4ABFCC63">
      <w:pPr>
        <w:pStyle w:val="41"/>
        <w:numPr>
          <w:ilvl w:val="0"/>
          <w:numId w:val="53"/>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lang w:val="en-US" w:eastAsia="zh-CN"/>
        </w:rPr>
        <w:t>装有监测设备的检查井处应设置监测点。</w:t>
      </w:r>
    </w:p>
    <w:p w14:paraId="604B2365">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6.7.3 井盖监测设备应在井盖发生位移、污水冒溢时能实时上传异常信息。</w:t>
      </w:r>
    </w:p>
    <w:p w14:paraId="3E70F63E">
      <w:pPr>
        <w:pStyle w:val="40"/>
        <w:spacing w:before="156" w:after="156"/>
        <w:rPr>
          <w:rFonts w:hint="default"/>
          <w:color w:val="auto"/>
          <w:lang w:val="en-US" w:eastAsia="zh-CN"/>
        </w:rPr>
      </w:pPr>
      <w:r>
        <w:rPr>
          <w:rFonts w:hint="eastAsia"/>
          <w:color w:val="auto"/>
          <w:lang w:val="en-US" w:eastAsia="zh-CN"/>
        </w:rPr>
        <w:t>6.8 数据采集与存储</w:t>
      </w:r>
    </w:p>
    <w:p w14:paraId="3CC63E8D">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6.8.1 排水管网设施数据的采集内容和格式应符</w:t>
      </w:r>
      <w:r>
        <w:rPr>
          <w:rFonts w:hint="eastAsia" w:hAnsi="宋体" w:eastAsia="宋体" w:cs="宋体"/>
          <w:color w:val="auto"/>
          <w:highlight w:val="none"/>
          <w:lang w:val="en-US" w:eastAsia="zh-CN"/>
        </w:rPr>
        <w:t>GB/T</w:t>
      </w:r>
      <w:r>
        <w:rPr>
          <w:rFonts w:hint="eastAsia" w:hAnsi="宋体" w:cs="宋体"/>
          <w:color w:val="auto"/>
          <w:highlight w:val="none"/>
          <w:lang w:val="en-US" w:eastAsia="zh-CN"/>
        </w:rPr>
        <w:t xml:space="preserve"> </w:t>
      </w:r>
      <w:r>
        <w:rPr>
          <w:rFonts w:hint="eastAsia" w:hAnsi="宋体" w:eastAsia="宋体" w:cs="宋体"/>
          <w:color w:val="auto"/>
          <w:highlight w:val="none"/>
          <w:lang w:val="en-US" w:eastAsia="zh-CN"/>
        </w:rPr>
        <w:t>5118</w:t>
      </w:r>
      <w:r>
        <w:rPr>
          <w:rFonts w:hint="eastAsia" w:hAnsi="宋体" w:eastAsia="宋体" w:cs="宋体"/>
          <w:color w:val="auto"/>
          <w:lang w:val="en-US" w:eastAsia="zh-CN"/>
        </w:rPr>
        <w:t>7</w:t>
      </w:r>
      <w:r>
        <w:rPr>
          <w:rFonts w:hint="eastAsia" w:hAnsi="宋体" w:cs="宋体"/>
          <w:color w:val="auto"/>
          <w:lang w:val="en-US" w:eastAsia="zh-CN"/>
        </w:rPr>
        <w:t>的</w:t>
      </w:r>
      <w:r>
        <w:rPr>
          <w:rFonts w:hint="eastAsia" w:hAnsi="宋体" w:eastAsia="宋体" w:cs="宋体"/>
          <w:color w:val="auto"/>
          <w:lang w:val="en-US" w:eastAsia="zh-CN"/>
        </w:rPr>
        <w:t>相关规定</w:t>
      </w:r>
      <w:r>
        <w:rPr>
          <w:rFonts w:hint="eastAsia" w:hAnsi="宋体" w:cs="宋体"/>
          <w:color w:val="auto"/>
          <w:lang w:val="en-US" w:eastAsia="zh-CN"/>
        </w:rPr>
        <w:t>，</w:t>
      </w:r>
      <w:r>
        <w:rPr>
          <w:rFonts w:hint="eastAsia" w:ascii="宋体" w:hAnsi="宋体" w:eastAsia="宋体" w:cs="宋体"/>
          <w:color w:val="auto"/>
          <w:sz w:val="21"/>
          <w:szCs w:val="20"/>
          <w:lang w:val="en-US" w:eastAsia="zh-CN"/>
        </w:rPr>
        <w:t>以确保数据的规范性和准确性</w:t>
      </w:r>
      <w:r>
        <w:rPr>
          <w:rFonts w:hint="eastAsia" w:hAnsi="宋体" w:eastAsia="宋体" w:cs="宋体"/>
          <w:color w:val="auto"/>
          <w:lang w:val="en-US" w:eastAsia="zh-CN"/>
        </w:rPr>
        <w:t>。</w:t>
      </w:r>
    </w:p>
    <w:p w14:paraId="007D3ED5">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6.8.2 排水管网检测与评估数据应符合</w:t>
      </w:r>
      <w:r>
        <w:rPr>
          <w:rFonts w:hint="eastAsia" w:hAnsi="宋体" w:eastAsia="宋体" w:cs="宋体"/>
          <w:color w:val="auto"/>
          <w:highlight w:val="none"/>
          <w:lang w:val="en-US" w:eastAsia="zh-CN"/>
        </w:rPr>
        <w:t>CJJ</w:t>
      </w:r>
      <w:r>
        <w:rPr>
          <w:rFonts w:hint="eastAsia" w:hAnsi="宋体" w:cs="宋体"/>
          <w:color w:val="auto"/>
          <w:highlight w:val="none"/>
          <w:lang w:val="en-US" w:eastAsia="zh-CN"/>
        </w:rPr>
        <w:t xml:space="preserve"> </w:t>
      </w:r>
      <w:r>
        <w:rPr>
          <w:rFonts w:hint="eastAsia" w:hAnsi="宋体" w:eastAsia="宋体" w:cs="宋体"/>
          <w:color w:val="auto"/>
          <w:highlight w:val="none"/>
          <w:lang w:val="en-US" w:eastAsia="zh-CN"/>
        </w:rPr>
        <w:t>6</w:t>
      </w:r>
      <w:r>
        <w:rPr>
          <w:rFonts w:hint="eastAsia" w:hAnsi="宋体" w:cs="宋体"/>
          <w:color w:val="auto"/>
          <w:highlight w:val="none"/>
          <w:lang w:val="en-US" w:eastAsia="zh-CN"/>
        </w:rPr>
        <w:t>的</w:t>
      </w:r>
      <w:r>
        <w:rPr>
          <w:rFonts w:hint="eastAsia" w:hAnsi="宋体" w:eastAsia="宋体" w:cs="宋体"/>
          <w:color w:val="auto"/>
          <w:highlight w:val="none"/>
          <w:lang w:val="en-US" w:eastAsia="zh-CN"/>
        </w:rPr>
        <w:t>相关规定</w:t>
      </w:r>
      <w:r>
        <w:rPr>
          <w:rFonts w:hint="eastAsia" w:hAnsi="宋体" w:eastAsia="宋体" w:cs="宋体"/>
          <w:color w:val="auto"/>
          <w:lang w:val="en-US" w:eastAsia="zh-CN"/>
        </w:rPr>
        <w:t>。</w:t>
      </w:r>
    </w:p>
    <w:p w14:paraId="7F3D9A2E">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6.8.3 动态感知监测数据可通过在线采集和人工采集的方式传输至平台数据库，采集和传输需要通信网络；人工采集数据应采用规范化电子表或开发相应人填报功能上报至平台数据库。</w:t>
      </w:r>
    </w:p>
    <w:p w14:paraId="5E53E38A">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6.8.4 物联监测设备应具有数据备份、断点续传、设备报警功能，数据通讯可选择GPRS、NB-IOT、4G、5G等无线或有线方式。</w:t>
      </w:r>
    </w:p>
    <w:p w14:paraId="333BDB09">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6.8.5 动态感知数据应能通过HT-TP/HTTPS/JMS、 FTP、XMPP 等多种传输通信协议，向上传输至物联网平台。</w:t>
      </w:r>
    </w:p>
    <w:p w14:paraId="0210C63D">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6.8.6 数据库的建设应遵循结构可扩充性、拓扑可维护性、数据完整性、空间与属性关联性、空间数据多源性和数据安全性等原则。</w:t>
      </w:r>
    </w:p>
    <w:p w14:paraId="731263CA">
      <w:pPr>
        <w:pStyle w:val="40"/>
        <w:spacing w:before="156" w:after="156"/>
        <w:rPr>
          <w:rFonts w:hint="eastAsia"/>
          <w:color w:val="auto"/>
          <w:lang w:val="en-US" w:eastAsia="zh-CN"/>
        </w:rPr>
      </w:pPr>
      <w:r>
        <w:rPr>
          <w:rFonts w:hint="eastAsia"/>
          <w:color w:val="auto"/>
          <w:lang w:val="en-US" w:eastAsia="zh-CN"/>
        </w:rPr>
        <w:t>6.9 数据编码与标识</w:t>
      </w:r>
    </w:p>
    <w:p w14:paraId="50507569">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6.9.1 排水管网设施要素的空间分类编码规范、运行维护管理数据表名称及说明应按</w:t>
      </w:r>
      <w:r>
        <w:rPr>
          <w:rFonts w:hint="eastAsia" w:hAnsi="宋体" w:eastAsia="宋体" w:cs="宋体"/>
          <w:color w:val="auto"/>
          <w:highlight w:val="none"/>
          <w:lang w:val="en-US" w:eastAsia="zh-CN"/>
        </w:rPr>
        <w:t>GB/T</w:t>
      </w:r>
      <w:r>
        <w:rPr>
          <w:rFonts w:hint="eastAsia" w:hAnsi="宋体" w:cs="宋体"/>
          <w:color w:val="auto"/>
          <w:highlight w:val="none"/>
          <w:lang w:val="en-US" w:eastAsia="zh-CN"/>
        </w:rPr>
        <w:t xml:space="preserve"> </w:t>
      </w:r>
      <w:r>
        <w:rPr>
          <w:rFonts w:hint="eastAsia" w:hAnsi="宋体" w:eastAsia="宋体" w:cs="宋体"/>
          <w:color w:val="auto"/>
          <w:highlight w:val="none"/>
          <w:lang w:val="en-US" w:eastAsia="zh-CN"/>
        </w:rPr>
        <w:t>51187</w:t>
      </w:r>
      <w:r>
        <w:rPr>
          <w:rFonts w:hint="eastAsia" w:hAnsi="宋体" w:eastAsia="宋体" w:cs="宋体"/>
          <w:color w:val="auto"/>
          <w:lang w:val="en-US" w:eastAsia="zh-CN"/>
        </w:rPr>
        <w:t>的规定执行。</w:t>
      </w:r>
    </w:p>
    <w:p w14:paraId="3D09343A">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6.9.2 排水管网数据结构应确定字段名称、字段类型、字段长度、小数位数</w:t>
      </w:r>
      <w:r>
        <w:rPr>
          <w:rFonts w:hint="eastAsia" w:hAnsi="宋体" w:cs="宋体"/>
          <w:color w:val="auto"/>
          <w:lang w:val="en-US" w:eastAsia="zh-CN"/>
        </w:rPr>
        <w:t>和完整性约束</w:t>
      </w:r>
      <w:r>
        <w:rPr>
          <w:rFonts w:hint="eastAsia" w:hAnsi="宋体" w:eastAsia="宋体" w:cs="宋体"/>
          <w:color w:val="auto"/>
          <w:lang w:val="en-US" w:eastAsia="zh-CN"/>
        </w:rPr>
        <w:t>等内容。</w:t>
      </w:r>
    </w:p>
    <w:p w14:paraId="222436AE">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6.9.3 排水管网数据资源的数据结构应进行时空标识，即时间、空间和属性的三</w:t>
      </w:r>
      <w:r>
        <w:rPr>
          <w:rFonts w:hint="eastAsia" w:hAnsi="宋体" w:cs="宋体"/>
          <w:color w:val="auto"/>
          <w:lang w:val="en-US" w:eastAsia="zh-CN"/>
        </w:rPr>
        <w:t>域</w:t>
      </w:r>
      <w:r>
        <w:rPr>
          <w:rFonts w:hint="eastAsia" w:hAnsi="宋体" w:eastAsia="宋体" w:cs="宋体"/>
          <w:color w:val="auto"/>
          <w:lang w:val="en-US" w:eastAsia="zh-CN"/>
        </w:rPr>
        <w:t>标识</w:t>
      </w:r>
      <w:r>
        <w:rPr>
          <w:rFonts w:hint="eastAsia" w:hAnsi="宋体" w:cs="宋体"/>
          <w:color w:val="auto"/>
          <w:lang w:val="en-US" w:eastAsia="zh-CN"/>
        </w:rPr>
        <w:t>，</w:t>
      </w:r>
      <w:r>
        <w:rPr>
          <w:rFonts w:hint="eastAsia" w:ascii="宋体" w:hAnsi="宋体" w:eastAsia="宋体" w:cs="宋体"/>
          <w:color w:val="auto"/>
          <w:sz w:val="21"/>
          <w:szCs w:val="20"/>
          <w:lang w:val="en-US" w:eastAsia="zh-CN"/>
        </w:rPr>
        <w:t>为数据的查询和分析提供更为全面的视角</w:t>
      </w:r>
      <w:r>
        <w:rPr>
          <w:rFonts w:hint="eastAsia" w:hAnsi="宋体" w:eastAsia="宋体" w:cs="宋体"/>
          <w:color w:val="auto"/>
          <w:lang w:val="en-US" w:eastAsia="zh-CN"/>
        </w:rPr>
        <w:t>。</w:t>
      </w:r>
    </w:p>
    <w:p w14:paraId="29BFE1C9">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6.9.</w:t>
      </w:r>
      <w:r>
        <w:rPr>
          <w:rFonts w:hint="eastAsia" w:hAnsi="宋体" w:cs="宋体"/>
          <w:color w:val="auto"/>
          <w:lang w:val="en-US" w:eastAsia="zh-CN"/>
        </w:rPr>
        <w:t>4</w:t>
      </w:r>
      <w:r>
        <w:rPr>
          <w:rFonts w:hint="eastAsia" w:hAnsi="宋体" w:eastAsia="宋体" w:cs="宋体"/>
          <w:color w:val="auto"/>
          <w:lang w:val="en-US" w:eastAsia="zh-CN"/>
        </w:rPr>
        <w:t xml:space="preserve"> 排水管网设施及监测设备应赋予唯一的标识码，标识码应符合下列规定：</w:t>
      </w:r>
    </w:p>
    <w:p w14:paraId="0E170D16">
      <w:pPr>
        <w:pStyle w:val="41"/>
        <w:numPr>
          <w:ilvl w:val="0"/>
          <w:numId w:val="54"/>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lang w:val="en-US" w:eastAsia="zh-CN"/>
        </w:rPr>
        <w:t>标识码应由10位数字的设施代码与7位数字的流水号组成；</w:t>
      </w:r>
    </w:p>
    <w:p w14:paraId="063FF0F1">
      <w:pPr>
        <w:pStyle w:val="41"/>
        <w:numPr>
          <w:ilvl w:val="0"/>
          <w:numId w:val="54"/>
        </w:numPr>
        <w:tabs>
          <w:tab w:val="center" w:pos="4201"/>
          <w:tab w:val="right" w:leader="dot" w:pos="9298"/>
        </w:tabs>
        <w:ind w:left="726" w:leftChars="0" w:hanging="306" w:firstLineChars="0"/>
        <w:rPr>
          <w:rFonts w:hint="default" w:hAnsi="宋体" w:eastAsia="宋体" w:cs="宋体"/>
          <w:color w:val="auto"/>
          <w:lang w:val="en-US" w:eastAsia="zh-CN"/>
        </w:rPr>
      </w:pPr>
      <w:r>
        <w:rPr>
          <w:rFonts w:hint="eastAsia" w:hAnsi="宋体" w:cs="宋体"/>
          <w:color w:val="auto"/>
          <w:szCs w:val="21"/>
          <w:lang w:val="en-US" w:eastAsia="zh-CN"/>
        </w:rPr>
        <w:t>设施代码应依次为：政区划代码6位、大类代码2位和小类代码2位。行政区划代码应符合GB/T 2260的相关规定，大类代码和小类代码应按照</w:t>
      </w:r>
      <w:r>
        <w:rPr>
          <w:rFonts w:hint="eastAsia" w:hAnsi="宋体" w:eastAsia="宋体" w:cs="宋体"/>
          <w:color w:val="auto"/>
          <w:highlight w:val="none"/>
          <w:lang w:val="en-US" w:eastAsia="zh-CN"/>
        </w:rPr>
        <w:t>GB/T</w:t>
      </w:r>
      <w:r>
        <w:rPr>
          <w:rFonts w:hint="eastAsia" w:hAnsi="宋体" w:cs="宋体"/>
          <w:color w:val="auto"/>
          <w:highlight w:val="none"/>
          <w:lang w:val="en-US" w:eastAsia="zh-CN"/>
        </w:rPr>
        <w:t xml:space="preserve"> </w:t>
      </w:r>
      <w:r>
        <w:rPr>
          <w:rFonts w:hint="eastAsia" w:hAnsi="宋体" w:eastAsia="宋体" w:cs="宋体"/>
          <w:color w:val="auto"/>
          <w:highlight w:val="none"/>
          <w:lang w:val="en-US" w:eastAsia="zh-CN"/>
        </w:rPr>
        <w:t>51187</w:t>
      </w:r>
      <w:r>
        <w:rPr>
          <w:rFonts w:hint="eastAsia" w:hAnsi="宋体" w:cs="宋体"/>
          <w:color w:val="auto"/>
          <w:szCs w:val="21"/>
          <w:lang w:val="en-US" w:eastAsia="zh-CN"/>
        </w:rPr>
        <w:t>的规定执行。</w:t>
      </w:r>
    </w:p>
    <w:p w14:paraId="2D5225B8">
      <w:pPr>
        <w:pStyle w:val="41"/>
        <w:numPr>
          <w:ilvl w:val="0"/>
          <w:numId w:val="54"/>
        </w:numPr>
        <w:tabs>
          <w:tab w:val="center" w:pos="4201"/>
          <w:tab w:val="right" w:leader="dot" w:pos="9298"/>
        </w:tabs>
        <w:ind w:left="726" w:leftChars="0" w:hanging="306" w:firstLineChars="0"/>
        <w:rPr>
          <w:rFonts w:hint="eastAsia"/>
          <w:color w:val="auto"/>
          <w:lang w:val="en-US" w:eastAsia="zh-CN"/>
        </w:rPr>
      </w:pPr>
      <w:r>
        <w:rPr>
          <w:rFonts w:hint="eastAsia" w:hAnsi="宋体" w:cs="宋体"/>
          <w:color w:val="auto"/>
          <w:szCs w:val="21"/>
          <w:lang w:val="en-US" w:eastAsia="zh-CN"/>
        </w:rPr>
        <w:t>流水号应从0000001开始顺序编码。</w:t>
      </w:r>
    </w:p>
    <w:p w14:paraId="71E76C98">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6.9.</w:t>
      </w:r>
      <w:r>
        <w:rPr>
          <w:rFonts w:hint="eastAsia" w:hAnsi="宋体" w:cs="宋体"/>
          <w:color w:val="auto"/>
          <w:lang w:val="en-US" w:eastAsia="zh-CN"/>
        </w:rPr>
        <w:t>5</w:t>
      </w:r>
      <w:r>
        <w:rPr>
          <w:rFonts w:hint="eastAsia" w:hAnsi="宋体" w:eastAsia="宋体" w:cs="宋体"/>
          <w:color w:val="auto"/>
          <w:lang w:val="en-US" w:eastAsia="zh-CN"/>
        </w:rPr>
        <w:t xml:space="preserve"> 排水管网设施</w:t>
      </w:r>
      <w:r>
        <w:rPr>
          <w:rFonts w:hint="eastAsia" w:hAnsi="宋体" w:cs="宋体"/>
          <w:color w:val="auto"/>
          <w:lang w:val="en-US" w:eastAsia="zh-CN"/>
        </w:rPr>
        <w:t>的养护状态应根据养护频次和设施的健康状况设置每种情况的</w:t>
      </w:r>
      <w:r>
        <w:rPr>
          <w:rFonts w:hint="eastAsia" w:hAnsi="宋体" w:eastAsia="宋体" w:cs="宋体"/>
          <w:color w:val="auto"/>
          <w:lang w:val="en-US" w:eastAsia="zh-CN"/>
        </w:rPr>
        <w:t>唯一</w:t>
      </w:r>
      <w:r>
        <w:rPr>
          <w:rFonts w:hint="eastAsia" w:hAnsi="宋体" w:cs="宋体"/>
          <w:color w:val="auto"/>
          <w:lang w:val="en-US" w:eastAsia="zh-CN"/>
        </w:rPr>
        <w:t>编码，并应按照入库的先后顺序从小到大进行编码。</w:t>
      </w:r>
    </w:p>
    <w:p w14:paraId="3553ECB1">
      <w:pPr>
        <w:pStyle w:val="114"/>
        <w:spacing w:before="312" w:after="312"/>
        <w:ind w:left="0"/>
        <w:jc w:val="left"/>
        <w:rPr>
          <w:rFonts w:hint="eastAsia" w:hAnsi="黑体" w:cs="黑体"/>
          <w:color w:val="auto"/>
          <w:szCs w:val="21"/>
        </w:rPr>
      </w:pPr>
      <w:bookmarkStart w:id="134" w:name="_Toc29460"/>
      <w:r>
        <w:rPr>
          <w:rFonts w:hint="eastAsia" w:hAnsi="黑体" w:cs="黑体"/>
          <w:color w:val="auto"/>
          <w:szCs w:val="21"/>
          <w:lang w:val="en-US" w:eastAsia="zh-CN"/>
        </w:rPr>
        <w:t>排水管网智能化工程</w:t>
      </w:r>
      <w:bookmarkEnd w:id="134"/>
    </w:p>
    <w:p w14:paraId="29D1AA4F">
      <w:pPr>
        <w:pStyle w:val="40"/>
        <w:spacing w:before="156" w:after="156"/>
        <w:rPr>
          <w:color w:val="auto"/>
        </w:rPr>
      </w:pPr>
      <w:r>
        <w:rPr>
          <w:rFonts w:hint="eastAsia"/>
          <w:color w:val="auto"/>
          <w:lang w:val="en-US" w:eastAsia="zh-CN"/>
        </w:rPr>
        <w:t>7</w:t>
      </w:r>
      <w:r>
        <w:rPr>
          <w:rFonts w:hint="eastAsia"/>
          <w:color w:val="auto"/>
        </w:rPr>
        <w:t>.1 一般规定</w:t>
      </w:r>
    </w:p>
    <w:p w14:paraId="01501068">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7.1.1</w:t>
      </w:r>
      <w:r>
        <w:rPr>
          <w:rFonts w:hint="eastAsia" w:hAnsi="宋体" w:cs="宋体"/>
          <w:color w:val="auto"/>
          <w:lang w:val="en-US" w:eastAsia="zh-CN"/>
        </w:rPr>
        <w:t xml:space="preserve"> </w:t>
      </w:r>
      <w:r>
        <w:rPr>
          <w:rFonts w:hint="eastAsia" w:hAnsi="宋体" w:eastAsia="宋体" w:cs="宋体"/>
          <w:color w:val="auto"/>
          <w:lang w:val="en-US" w:eastAsia="zh-CN"/>
        </w:rPr>
        <w:t>管网智能化技术应用宜采用水力水质模型技术，基于管网动态监测数据，实现排水系统的智能分析、风险预警和动态调控。</w:t>
      </w:r>
    </w:p>
    <w:p w14:paraId="50EDAC7D">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7.1.2 管网智能化技术应用能及时对预警信息做出处置。</w:t>
      </w:r>
    </w:p>
    <w:p w14:paraId="59280359">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7.1.3 管网智能化技术应用应能根据历史管理决策数据，不断优化自身管理调度参数和流程，逐步提升排水管网智能化管理和水平。</w:t>
      </w:r>
    </w:p>
    <w:p w14:paraId="2A0D945C">
      <w:pPr>
        <w:pStyle w:val="41"/>
        <w:ind w:left="0" w:leftChars="0" w:firstLine="0" w:firstLineChars="0"/>
        <w:rPr>
          <w:rFonts w:hint="default" w:hAnsi="宋体" w:eastAsia="宋体" w:cs="宋体"/>
          <w:color w:val="auto"/>
          <w:lang w:val="en-US" w:eastAsia="zh-CN"/>
        </w:rPr>
      </w:pPr>
      <w:r>
        <w:rPr>
          <w:rFonts w:hint="eastAsia" w:hAnsi="宋体" w:eastAsia="宋体" w:cs="宋体"/>
          <w:color w:val="auto"/>
          <w:lang w:val="en-US" w:eastAsia="zh-CN"/>
        </w:rPr>
        <w:t>7.1.4 现有排水设施自控系统不具备远程控制的应实施自控系统升级改造，实现远程控制和数据的上传。</w:t>
      </w:r>
    </w:p>
    <w:p w14:paraId="7C6FC616">
      <w:pPr>
        <w:pStyle w:val="40"/>
        <w:spacing w:before="156" w:after="156"/>
        <w:rPr>
          <w:rFonts w:hint="default"/>
          <w:color w:val="auto"/>
          <w:lang w:val="en-US" w:eastAsia="zh-CN"/>
        </w:rPr>
      </w:pPr>
      <w:r>
        <w:rPr>
          <w:rFonts w:hint="eastAsia"/>
          <w:color w:val="auto"/>
          <w:lang w:val="en-US" w:eastAsia="zh-CN"/>
        </w:rPr>
        <w:t>7</w:t>
      </w:r>
      <w:r>
        <w:rPr>
          <w:rFonts w:hint="eastAsia"/>
          <w:color w:val="auto"/>
        </w:rPr>
        <w:t>.</w:t>
      </w:r>
      <w:r>
        <w:rPr>
          <w:rFonts w:hint="eastAsia"/>
          <w:color w:val="auto"/>
          <w:lang w:val="en-US" w:eastAsia="zh-CN"/>
        </w:rPr>
        <w:t>2</w:t>
      </w:r>
      <w:r>
        <w:rPr>
          <w:rFonts w:hint="eastAsia"/>
          <w:color w:val="auto"/>
        </w:rPr>
        <w:t xml:space="preserve"> </w:t>
      </w:r>
      <w:r>
        <w:rPr>
          <w:rFonts w:hint="eastAsia"/>
          <w:color w:val="auto"/>
          <w:lang w:val="en-US" w:eastAsia="zh-CN"/>
        </w:rPr>
        <w:t>水力水质模型应用</w:t>
      </w:r>
    </w:p>
    <w:p w14:paraId="027FE837">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7.2.1 排水管网智能化应用宜构建排水管网水力模型，建模范围可以是一个城市排水管网，也可以是一个排水片区。</w:t>
      </w:r>
    </w:p>
    <w:p w14:paraId="64BF3AF4">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7.2.2 排水管网水力模型的构建包括以下主要步骤：</w:t>
      </w:r>
    </w:p>
    <w:p w14:paraId="34901AA8">
      <w:pPr>
        <w:pStyle w:val="41"/>
        <w:numPr>
          <w:ilvl w:val="0"/>
          <w:numId w:val="55"/>
        </w:numPr>
        <w:tabs>
          <w:tab w:val="center" w:pos="4201"/>
          <w:tab w:val="right" w:leader="dot" w:pos="9298"/>
        </w:tabs>
        <w:ind w:left="726" w:leftChars="0" w:hanging="306" w:firstLineChars="0"/>
        <w:rPr>
          <w:color w:val="auto"/>
        </w:rPr>
      </w:pPr>
      <w:r>
        <w:rPr>
          <w:rFonts w:hint="eastAsia" w:hAnsi="宋体" w:cs="宋体"/>
          <w:color w:val="auto"/>
          <w:szCs w:val="21"/>
          <w:lang w:val="en-US" w:eastAsia="zh-CN"/>
        </w:rPr>
        <w:t>模型选择:针对应用需求，选择合适的模型。</w:t>
      </w:r>
    </w:p>
    <w:p w14:paraId="2938787E">
      <w:pPr>
        <w:pStyle w:val="41"/>
        <w:numPr>
          <w:ilvl w:val="0"/>
          <w:numId w:val="55"/>
        </w:numPr>
        <w:tabs>
          <w:tab w:val="center" w:pos="4201"/>
          <w:tab w:val="right" w:leader="dot" w:pos="9298"/>
        </w:tabs>
        <w:ind w:left="726" w:leftChars="0" w:hanging="306" w:firstLineChars="0"/>
        <w:rPr>
          <w:rFonts w:hint="eastAsia" w:hAnsi="宋体" w:cs="宋体"/>
          <w:color w:val="auto"/>
          <w:szCs w:val="21"/>
          <w:lang w:val="en-US" w:eastAsia="zh-CN"/>
        </w:rPr>
      </w:pPr>
      <w:r>
        <w:rPr>
          <w:rFonts w:hint="eastAsia" w:hAnsi="宋体" w:cs="宋体"/>
          <w:color w:val="auto"/>
          <w:szCs w:val="21"/>
          <w:lang w:val="en-US" w:eastAsia="zh-CN"/>
        </w:rPr>
        <w:t>模型建立:分析排水管网拓扑结构，确定管段、节点等各种组件在模型中的数学表达。</w:t>
      </w:r>
    </w:p>
    <w:p w14:paraId="3C70C528">
      <w:pPr>
        <w:pStyle w:val="41"/>
        <w:numPr>
          <w:ilvl w:val="0"/>
          <w:numId w:val="55"/>
        </w:numPr>
        <w:tabs>
          <w:tab w:val="center" w:pos="4201"/>
          <w:tab w:val="right" w:leader="dot" w:pos="9298"/>
        </w:tabs>
        <w:ind w:left="726" w:leftChars="0" w:hanging="306" w:firstLineChars="0"/>
        <w:rPr>
          <w:rFonts w:hint="eastAsia" w:hAnsi="宋体" w:cs="宋体"/>
          <w:color w:val="auto"/>
          <w:szCs w:val="21"/>
          <w:lang w:val="en-US" w:eastAsia="zh-CN"/>
        </w:rPr>
      </w:pPr>
      <w:r>
        <w:rPr>
          <w:rFonts w:hint="eastAsia" w:hAnsi="宋体" w:cs="宋体"/>
          <w:color w:val="auto"/>
          <w:szCs w:val="21"/>
          <w:lang w:val="en-US" w:eastAsia="zh-CN"/>
        </w:rPr>
        <w:t>模型校核与验证:通过实测数据，合理调整模型参数使模型精度满足要求。</w:t>
      </w:r>
    </w:p>
    <w:p w14:paraId="483C5247">
      <w:pPr>
        <w:pStyle w:val="41"/>
        <w:numPr>
          <w:ilvl w:val="0"/>
          <w:numId w:val="55"/>
        </w:numPr>
        <w:tabs>
          <w:tab w:val="center" w:pos="4201"/>
          <w:tab w:val="right" w:leader="dot" w:pos="9298"/>
        </w:tabs>
        <w:ind w:left="726" w:leftChars="0" w:hanging="306" w:firstLineChars="0"/>
        <w:rPr>
          <w:rFonts w:hint="default" w:hAnsi="宋体" w:eastAsia="宋体" w:cs="宋体"/>
          <w:color w:val="auto"/>
          <w:lang w:val="en-US" w:eastAsia="zh-CN"/>
        </w:rPr>
      </w:pPr>
      <w:r>
        <w:rPr>
          <w:rFonts w:hint="eastAsia" w:hAnsi="宋体" w:cs="宋体"/>
          <w:color w:val="auto"/>
          <w:szCs w:val="21"/>
          <w:lang w:val="en-US" w:eastAsia="zh-CN"/>
        </w:rPr>
        <w:t>模型应用:针对管网工程和运行需求，开展相关模型应用。</w:t>
      </w:r>
    </w:p>
    <w:p w14:paraId="4F5E9DD7">
      <w:pPr>
        <w:pStyle w:val="41"/>
        <w:ind w:left="0" w:leftChars="0" w:firstLine="0" w:firstLineChars="0"/>
        <w:rPr>
          <w:rFonts w:hint="default" w:hAnsi="宋体" w:eastAsia="宋体" w:cs="宋体"/>
          <w:color w:val="auto"/>
          <w:lang w:val="en-US" w:eastAsia="zh-CN"/>
        </w:rPr>
      </w:pPr>
      <w:r>
        <w:rPr>
          <w:rFonts w:hint="eastAsia" w:hAnsi="宋体" w:eastAsia="宋体" w:cs="宋体"/>
          <w:color w:val="auto"/>
          <w:lang w:val="en-US" w:eastAsia="zh-CN"/>
        </w:rPr>
        <w:t>7.2.</w:t>
      </w:r>
      <w:r>
        <w:rPr>
          <w:rFonts w:hint="eastAsia" w:hAnsi="宋体" w:cs="宋体"/>
          <w:color w:val="auto"/>
          <w:lang w:val="en-US" w:eastAsia="zh-CN"/>
        </w:rPr>
        <w:t>3</w:t>
      </w:r>
      <w:r>
        <w:rPr>
          <w:rFonts w:hint="eastAsia" w:hAnsi="宋体" w:eastAsia="宋体" w:cs="宋体"/>
          <w:color w:val="auto"/>
          <w:lang w:val="en-US" w:eastAsia="zh-CN"/>
        </w:rPr>
        <w:t xml:space="preserve"> 排水管网水力水质模型成果结合排水管网基础数据、管网运行监控数据，能够反映排水管网水力和水质变化特征.</w:t>
      </w:r>
    </w:p>
    <w:p w14:paraId="74EFD4BA">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7.2.</w:t>
      </w:r>
      <w:r>
        <w:rPr>
          <w:rFonts w:hint="eastAsia" w:hAnsi="宋体" w:cs="宋体"/>
          <w:color w:val="auto"/>
          <w:lang w:val="en-US" w:eastAsia="zh-CN"/>
        </w:rPr>
        <w:t>4</w:t>
      </w:r>
      <w:r>
        <w:rPr>
          <w:rFonts w:hint="eastAsia" w:hAnsi="宋体" w:eastAsia="宋体" w:cs="宋体"/>
          <w:color w:val="auto"/>
          <w:lang w:val="en-US" w:eastAsia="zh-CN"/>
        </w:rPr>
        <w:t xml:space="preserve"> 排水管网水力水质模型可应用于排水管网调度。应用时需要模型基础参数设定，要结合监测的入流、汇流水量、水质数据,优化调度模型，通过预测模拟运算，为排水管网调度运行提供决策依据。</w:t>
      </w:r>
    </w:p>
    <w:p w14:paraId="0E679020">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7.2.</w:t>
      </w:r>
      <w:r>
        <w:rPr>
          <w:rFonts w:hint="eastAsia" w:hAnsi="宋体" w:cs="宋体"/>
          <w:color w:val="auto"/>
          <w:lang w:val="en-US" w:eastAsia="zh-CN"/>
        </w:rPr>
        <w:t>5</w:t>
      </w:r>
      <w:r>
        <w:rPr>
          <w:rFonts w:hint="eastAsia" w:hAnsi="宋体" w:eastAsia="宋体" w:cs="宋体"/>
          <w:color w:val="auto"/>
          <w:lang w:val="en-US" w:eastAsia="zh-CN"/>
        </w:rPr>
        <w:t xml:space="preserve"> 排水管网水力水质模型应定期更新和校准。</w:t>
      </w:r>
    </w:p>
    <w:p w14:paraId="282B1AED">
      <w:pPr>
        <w:pStyle w:val="40"/>
        <w:spacing w:before="156" w:after="156"/>
        <w:rPr>
          <w:rFonts w:hint="default" w:eastAsia="黑体"/>
          <w:color w:val="auto"/>
          <w:lang w:val="en-US" w:eastAsia="zh-CN"/>
        </w:rPr>
      </w:pPr>
      <w:r>
        <w:rPr>
          <w:rFonts w:hint="eastAsia"/>
          <w:color w:val="auto"/>
          <w:lang w:val="en-US" w:eastAsia="zh-CN"/>
        </w:rPr>
        <w:t>7</w:t>
      </w:r>
      <w:r>
        <w:rPr>
          <w:rFonts w:hint="eastAsia"/>
          <w:color w:val="auto"/>
        </w:rPr>
        <w:t>.</w:t>
      </w:r>
      <w:r>
        <w:rPr>
          <w:rFonts w:hint="eastAsia"/>
          <w:color w:val="auto"/>
          <w:lang w:val="en-US" w:eastAsia="zh-CN"/>
        </w:rPr>
        <w:t>3</w:t>
      </w:r>
      <w:r>
        <w:rPr>
          <w:rFonts w:hint="eastAsia"/>
          <w:color w:val="auto"/>
        </w:rPr>
        <w:t xml:space="preserve"> </w:t>
      </w:r>
      <w:r>
        <w:rPr>
          <w:rFonts w:hint="eastAsia"/>
          <w:color w:val="auto"/>
          <w:lang w:val="en-US" w:eastAsia="zh-CN"/>
        </w:rPr>
        <w:t>智能分析</w:t>
      </w:r>
    </w:p>
    <w:p w14:paraId="722D444E">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7.3.1 智能分析应用应根据管网动态监测数据和普查数据，结合管网上下游拓扑结构关系进行分析，</w:t>
      </w:r>
      <w:r>
        <w:rPr>
          <w:rFonts w:hint="eastAsia" w:hAnsi="宋体" w:cs="宋体"/>
          <w:color w:val="auto"/>
          <w:lang w:val="en-US" w:eastAsia="zh-CN"/>
        </w:rPr>
        <w:t>宜</w:t>
      </w:r>
      <w:r>
        <w:rPr>
          <w:rFonts w:hint="eastAsia" w:hAnsi="宋体" w:eastAsia="宋体" w:cs="宋体"/>
          <w:color w:val="auto"/>
          <w:lang w:val="en-US" w:eastAsia="zh-CN"/>
        </w:rPr>
        <w:t>能实现以下功能：</w:t>
      </w:r>
    </w:p>
    <w:p w14:paraId="2C594233">
      <w:pPr>
        <w:pStyle w:val="41"/>
        <w:numPr>
          <w:ilvl w:val="0"/>
          <w:numId w:val="56"/>
        </w:numPr>
        <w:tabs>
          <w:tab w:val="center" w:pos="4201"/>
          <w:tab w:val="right" w:leader="dot" w:pos="9298"/>
        </w:tabs>
        <w:ind w:left="726" w:leftChars="0" w:hanging="306" w:firstLineChars="0"/>
        <w:rPr>
          <w:rFonts w:hint="eastAsia" w:hAnsi="宋体" w:cs="宋体"/>
          <w:color w:val="auto"/>
          <w:lang w:val="en-US" w:eastAsia="zh-CN"/>
        </w:rPr>
      </w:pPr>
      <w:r>
        <w:rPr>
          <w:rFonts w:hint="eastAsia" w:ascii="宋体" w:hAnsi="宋体" w:eastAsia="宋体" w:cs="宋体"/>
          <w:color w:val="auto"/>
          <w:lang w:val="en-US" w:eastAsia="zh-CN"/>
        </w:rPr>
        <w:t>管网淤积分析</w:t>
      </w:r>
      <w:r>
        <w:rPr>
          <w:rFonts w:hint="eastAsia" w:hAnsi="宋体" w:cs="宋体"/>
          <w:color w:val="auto"/>
          <w:lang w:val="en-US" w:eastAsia="zh-CN"/>
        </w:rPr>
        <w:t>：</w:t>
      </w:r>
      <w:r>
        <w:rPr>
          <w:rFonts w:hint="eastAsia" w:ascii="宋体" w:hAnsi="宋体" w:eastAsia="宋体" w:cs="宋体"/>
          <w:color w:val="auto"/>
          <w:sz w:val="21"/>
          <w:szCs w:val="20"/>
          <w:lang w:val="en-US" w:eastAsia="zh-CN"/>
        </w:rPr>
        <w:t>通过流量-液位关系异常识别淤积管段，结合CJJ 181的检测数据，评估淤积程度</w:t>
      </w:r>
      <w:r>
        <w:rPr>
          <w:rFonts w:hint="eastAsia" w:hAnsi="宋体" w:cs="宋体"/>
          <w:color w:val="auto"/>
          <w:szCs w:val="20"/>
          <w:lang w:val="en-US" w:eastAsia="zh-CN"/>
        </w:rPr>
        <w:t>；</w:t>
      </w:r>
    </w:p>
    <w:p w14:paraId="6B42A891">
      <w:pPr>
        <w:pStyle w:val="41"/>
        <w:numPr>
          <w:ilvl w:val="0"/>
          <w:numId w:val="56"/>
        </w:numPr>
        <w:tabs>
          <w:tab w:val="center" w:pos="4201"/>
          <w:tab w:val="right" w:leader="dot" w:pos="9298"/>
        </w:tabs>
        <w:ind w:left="726" w:leftChars="0" w:hanging="306" w:firstLineChars="0"/>
        <w:rPr>
          <w:rFonts w:hint="eastAsia" w:hAnsi="宋体" w:cs="宋体"/>
          <w:color w:val="auto"/>
          <w:lang w:val="en-US" w:eastAsia="zh-CN"/>
        </w:rPr>
      </w:pPr>
      <w:r>
        <w:rPr>
          <w:rFonts w:hint="eastAsia" w:hAnsi="宋体" w:cs="宋体"/>
          <w:color w:val="auto"/>
        </w:rPr>
        <w:t>管网水力负荷分析</w:t>
      </w:r>
      <w:r>
        <w:rPr>
          <w:rFonts w:hint="eastAsia" w:hAnsi="宋体" w:cs="宋体"/>
          <w:color w:val="auto"/>
          <w:lang w:val="en-US" w:eastAsia="zh-CN"/>
        </w:rPr>
        <w:t>：</w:t>
      </w:r>
      <w:r>
        <w:rPr>
          <w:rFonts w:hint="eastAsia" w:ascii="宋体" w:hAnsi="宋体" w:eastAsia="宋体" w:cs="宋体"/>
          <w:color w:val="auto"/>
          <w:sz w:val="21"/>
          <w:szCs w:val="20"/>
          <w:lang w:val="en-US" w:eastAsia="zh-CN"/>
        </w:rPr>
        <w:t>基于实时流量与设计流量对比，判断管网超负荷运行风险，支持溢流预警；</w:t>
      </w:r>
    </w:p>
    <w:p w14:paraId="07AB18D0">
      <w:pPr>
        <w:pStyle w:val="41"/>
        <w:numPr>
          <w:ilvl w:val="0"/>
          <w:numId w:val="56"/>
        </w:numPr>
        <w:tabs>
          <w:tab w:val="center" w:pos="4201"/>
          <w:tab w:val="right" w:leader="dot" w:pos="9298"/>
        </w:tabs>
        <w:ind w:left="726" w:leftChars="0" w:hanging="306" w:firstLineChars="0"/>
        <w:rPr>
          <w:rFonts w:hint="eastAsia" w:hAnsi="宋体" w:cs="宋体"/>
          <w:color w:val="auto"/>
          <w:lang w:val="en-US" w:eastAsia="zh-CN"/>
        </w:rPr>
      </w:pPr>
      <w:r>
        <w:rPr>
          <w:rFonts w:hint="eastAsia" w:hAnsi="宋体" w:cs="宋体"/>
          <w:color w:val="auto"/>
        </w:rPr>
        <w:t>管网错混接点分析</w:t>
      </w:r>
      <w:r>
        <w:rPr>
          <w:rFonts w:hint="eastAsia" w:hAnsi="宋体" w:cs="宋体"/>
          <w:color w:val="auto"/>
          <w:highlight w:val="none"/>
          <w:lang w:eastAsia="zh-CN"/>
        </w:rPr>
        <w:t>：</w:t>
      </w:r>
      <w:r>
        <w:rPr>
          <w:rFonts w:hint="eastAsia" w:ascii="宋体" w:hAnsi="宋体" w:eastAsia="宋体" w:cs="宋体"/>
          <w:color w:val="auto"/>
          <w:sz w:val="21"/>
          <w:szCs w:val="20"/>
          <w:lang w:val="en-US" w:eastAsia="zh-CN"/>
        </w:rPr>
        <w:t>利用水质监测数据（如COD、电导率突变）定位雨污混接点，辅助人工核查；</w:t>
      </w:r>
    </w:p>
    <w:p w14:paraId="223B3F51">
      <w:pPr>
        <w:pStyle w:val="41"/>
        <w:numPr>
          <w:ilvl w:val="0"/>
          <w:numId w:val="56"/>
        </w:numPr>
        <w:tabs>
          <w:tab w:val="center" w:pos="4201"/>
          <w:tab w:val="right" w:leader="dot" w:pos="9298"/>
        </w:tabs>
        <w:ind w:left="726" w:leftChars="0" w:hanging="306" w:firstLineChars="0"/>
        <w:rPr>
          <w:rFonts w:hint="eastAsia" w:hAnsi="宋体" w:cs="宋体"/>
          <w:color w:val="auto"/>
          <w:lang w:val="en-US" w:eastAsia="zh-CN"/>
        </w:rPr>
      </w:pPr>
      <w:r>
        <w:rPr>
          <w:rFonts w:hint="eastAsia" w:hAnsi="宋体" w:cs="宋体"/>
          <w:color w:val="auto"/>
          <w:lang w:val="en-US" w:eastAsia="zh-CN"/>
        </w:rPr>
        <w:t>管网外水分析：</w:t>
      </w:r>
      <w:r>
        <w:rPr>
          <w:rFonts w:hint="eastAsia" w:ascii="宋体" w:hAnsi="宋体" w:eastAsia="宋体" w:cs="宋体"/>
          <w:color w:val="auto"/>
          <w:sz w:val="21"/>
          <w:szCs w:val="20"/>
          <w:lang w:val="en-US" w:eastAsia="zh-CN"/>
        </w:rPr>
        <w:t>采用水量平衡估算法或污染物稀释倍数法，量化地下水或河水入渗量；</w:t>
      </w:r>
    </w:p>
    <w:p w14:paraId="2C6DF832">
      <w:pPr>
        <w:pStyle w:val="41"/>
        <w:numPr>
          <w:ilvl w:val="0"/>
          <w:numId w:val="56"/>
        </w:numPr>
        <w:tabs>
          <w:tab w:val="center" w:pos="4201"/>
          <w:tab w:val="right" w:leader="dot" w:pos="9298"/>
        </w:tabs>
        <w:ind w:left="726" w:leftChars="0" w:hanging="306" w:firstLineChars="0"/>
        <w:rPr>
          <w:rFonts w:hint="eastAsia" w:ascii="宋体" w:hAnsi="宋体" w:eastAsia="宋体" w:cs="宋体"/>
          <w:color w:val="auto"/>
          <w:lang w:val="en-US" w:eastAsia="zh-CN"/>
        </w:rPr>
      </w:pPr>
      <w:r>
        <w:rPr>
          <w:rFonts w:hint="eastAsia" w:hAnsi="宋体" w:cs="宋体"/>
          <w:color w:val="auto"/>
          <w:lang w:val="en-US" w:eastAsia="zh-CN"/>
        </w:rPr>
        <w:t>初雨特征分析：</w:t>
      </w:r>
      <w:r>
        <w:rPr>
          <w:rFonts w:hint="eastAsia" w:ascii="宋体" w:hAnsi="宋体" w:eastAsia="宋体" w:cs="宋体"/>
          <w:color w:val="auto"/>
          <w:sz w:val="21"/>
          <w:szCs w:val="20"/>
          <w:lang w:val="en-US" w:eastAsia="zh-CN"/>
        </w:rPr>
        <w:t>结合降雨量-水质时序数据，识别初期雨水污染峰值，优化截流量控制参数；</w:t>
      </w:r>
    </w:p>
    <w:p w14:paraId="7F15E51D">
      <w:pPr>
        <w:pStyle w:val="41"/>
        <w:numPr>
          <w:ilvl w:val="0"/>
          <w:numId w:val="56"/>
        </w:numPr>
        <w:tabs>
          <w:tab w:val="center" w:pos="4201"/>
          <w:tab w:val="right" w:leader="dot" w:pos="9298"/>
        </w:tabs>
        <w:ind w:left="726" w:leftChars="0" w:hanging="306"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管网健康度评估</w:t>
      </w:r>
      <w:r>
        <w:rPr>
          <w:rFonts w:hint="eastAsia" w:hAnsi="宋体" w:cs="宋体"/>
          <w:color w:val="auto"/>
          <w:lang w:val="en-US" w:eastAsia="zh-CN"/>
        </w:rPr>
        <w:t>：</w:t>
      </w:r>
      <w:r>
        <w:rPr>
          <w:rFonts w:hint="eastAsia" w:ascii="宋体" w:hAnsi="宋体" w:eastAsia="宋体" w:cs="宋体"/>
          <w:color w:val="auto"/>
          <w:sz w:val="21"/>
          <w:szCs w:val="20"/>
          <w:lang w:val="en-US" w:eastAsia="zh-CN"/>
        </w:rPr>
        <w:t>综合结构性缺陷（如裂缝、塌陷）与功能性缺陷（如淤积、过载）数据，生成管网健康指数。</w:t>
      </w:r>
    </w:p>
    <w:p w14:paraId="748AF4F8">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7.3.2 智能分析功能宜建立雨量、液位、流量和水质的在线监测评估算法和模型。</w:t>
      </w:r>
    </w:p>
    <w:p w14:paraId="3ABCBC66">
      <w:pPr>
        <w:pStyle w:val="41"/>
        <w:numPr>
          <w:ilvl w:val="0"/>
          <w:numId w:val="57"/>
        </w:numPr>
        <w:tabs>
          <w:tab w:val="center" w:pos="4201"/>
          <w:tab w:val="right" w:leader="dot" w:pos="9298"/>
        </w:tabs>
        <w:ind w:left="726" w:leftChars="0" w:hanging="306" w:firstLineChars="0"/>
        <w:rPr>
          <w:rFonts w:hint="eastAsia" w:ascii="宋体" w:hAnsi="宋体" w:eastAsia="宋体" w:cs="宋体"/>
          <w:color w:val="auto"/>
          <w:sz w:val="21"/>
          <w:szCs w:val="20"/>
        </w:rPr>
      </w:pPr>
      <w:r>
        <w:rPr>
          <w:rFonts w:hint="eastAsia" w:ascii="宋体" w:hAnsi="宋体" w:eastAsia="宋体" w:cs="宋体"/>
          <w:color w:val="auto"/>
          <w:sz w:val="21"/>
          <w:szCs w:val="20"/>
          <w:lang w:val="en-US" w:eastAsia="zh-CN"/>
        </w:rPr>
        <w:t>雨量-液位关联模型：通过历史降雨与管网液位数据拟合，预测内涝风险区域。</w:t>
      </w:r>
    </w:p>
    <w:p w14:paraId="12E3302D">
      <w:pPr>
        <w:pStyle w:val="41"/>
        <w:numPr>
          <w:ilvl w:val="0"/>
          <w:numId w:val="57"/>
        </w:numPr>
        <w:tabs>
          <w:tab w:val="center" w:pos="4201"/>
          <w:tab w:val="right" w:leader="dot" w:pos="9298"/>
        </w:tabs>
        <w:ind w:left="726" w:leftChars="0" w:hanging="306" w:firstLineChars="0"/>
        <w:rPr>
          <w:rFonts w:hint="eastAsia" w:hAnsi="宋体" w:eastAsia="宋体" w:cs="宋体"/>
          <w:color w:val="auto"/>
          <w:lang w:val="en-US" w:eastAsia="zh-CN"/>
        </w:rPr>
      </w:pPr>
      <w:r>
        <w:rPr>
          <w:rFonts w:hint="eastAsia" w:ascii="宋体" w:hAnsi="宋体" w:eastAsia="宋体" w:cs="宋体"/>
          <w:color w:val="auto"/>
          <w:sz w:val="21"/>
          <w:szCs w:val="20"/>
        </w:rPr>
        <w:t>水质突变预警模型：采用机器学习算法（如孤立森林、聚类分析）识别异常水质数据，触发偷排或混接预警。</w:t>
      </w:r>
    </w:p>
    <w:p w14:paraId="27B6EE49">
      <w:pPr>
        <w:pStyle w:val="41"/>
        <w:numPr>
          <w:ilvl w:val="0"/>
          <w:numId w:val="57"/>
        </w:numPr>
        <w:tabs>
          <w:tab w:val="center" w:pos="4201"/>
          <w:tab w:val="right" w:leader="dot" w:pos="9298"/>
        </w:tabs>
        <w:ind w:left="726" w:leftChars="0" w:hanging="306" w:firstLineChars="0"/>
        <w:rPr>
          <w:rFonts w:hint="eastAsia" w:hAnsi="宋体" w:eastAsia="宋体" w:cs="宋体"/>
          <w:color w:val="auto"/>
          <w:lang w:val="en-US" w:eastAsia="zh-CN"/>
        </w:rPr>
      </w:pPr>
      <w:r>
        <w:rPr>
          <w:rFonts w:hint="eastAsia" w:ascii="宋体" w:hAnsi="宋体" w:eastAsia="宋体" w:cs="宋体"/>
          <w:color w:val="auto"/>
          <w:sz w:val="21"/>
          <w:szCs w:val="20"/>
        </w:rPr>
        <w:t>水力负荷动态模型：</w:t>
      </w:r>
      <w:r>
        <w:rPr>
          <w:rFonts w:hint="eastAsia" w:hAnsi="宋体" w:cs="宋体"/>
          <w:color w:val="auto"/>
          <w:sz w:val="21"/>
          <w:szCs w:val="20"/>
          <w:lang w:val="en-US" w:eastAsia="zh-CN"/>
        </w:rPr>
        <w:t>参照</w:t>
      </w:r>
      <w:r>
        <w:rPr>
          <w:rFonts w:hint="eastAsia" w:ascii="宋体" w:hAnsi="宋体" w:eastAsia="宋体" w:cs="宋体"/>
          <w:color w:val="auto"/>
          <w:sz w:val="21"/>
          <w:szCs w:val="20"/>
        </w:rPr>
        <w:t>GB 50014的管网设计参数，模拟不同降雨强度下的管网运行状态。</w:t>
      </w:r>
    </w:p>
    <w:p w14:paraId="5B460A59">
      <w:pPr>
        <w:pStyle w:val="41"/>
        <w:ind w:left="0" w:leftChars="0" w:firstLine="0" w:firstLineChars="0"/>
        <w:rPr>
          <w:rFonts w:hint="eastAsia" w:hAnsi="宋体" w:cs="宋体"/>
          <w:color w:val="auto"/>
          <w:lang w:val="en-US" w:eastAsia="zh-CN"/>
        </w:rPr>
      </w:pPr>
      <w:r>
        <w:rPr>
          <w:rFonts w:hint="eastAsia" w:hAnsi="宋体" w:eastAsia="宋体" w:cs="宋体"/>
          <w:color w:val="auto"/>
          <w:lang w:val="en-US" w:eastAsia="zh-CN"/>
        </w:rPr>
        <w:t>7.3.</w:t>
      </w:r>
      <w:r>
        <w:rPr>
          <w:rFonts w:hint="eastAsia" w:hAnsi="宋体" w:cs="宋体"/>
          <w:color w:val="auto"/>
          <w:lang w:val="en-US" w:eastAsia="zh-CN"/>
        </w:rPr>
        <w:t>3</w:t>
      </w:r>
      <w:r>
        <w:rPr>
          <w:rFonts w:hint="eastAsia" w:hAnsi="宋体" w:eastAsia="宋体" w:cs="宋体"/>
          <w:color w:val="auto"/>
          <w:lang w:val="en-US" w:eastAsia="zh-CN"/>
        </w:rPr>
        <w:t xml:space="preserve"> 智能分析</w:t>
      </w:r>
      <w:r>
        <w:rPr>
          <w:rFonts w:hint="eastAsia" w:hAnsi="宋体" w:cs="宋体"/>
          <w:color w:val="auto"/>
          <w:lang w:val="en-US" w:eastAsia="zh-CN"/>
        </w:rPr>
        <w:t>应能对管网存在的潜在风险和病灶进行预警，并能根据分析的结果智能给出合理化处置建议，辅助管理部门决策。</w:t>
      </w:r>
    </w:p>
    <w:p w14:paraId="31DB8DF4">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7.3.</w:t>
      </w:r>
      <w:r>
        <w:rPr>
          <w:rFonts w:hint="eastAsia" w:hAnsi="宋体" w:cs="宋体"/>
          <w:color w:val="auto"/>
          <w:lang w:val="en-US" w:eastAsia="zh-CN"/>
        </w:rPr>
        <w:t>4</w:t>
      </w:r>
      <w:r>
        <w:rPr>
          <w:rFonts w:hint="eastAsia" w:hAnsi="宋体" w:eastAsia="宋体" w:cs="宋体"/>
          <w:color w:val="auto"/>
          <w:lang w:val="en-US" w:eastAsia="zh-CN"/>
        </w:rPr>
        <w:t xml:space="preserve"> 运维人员</w:t>
      </w:r>
      <w:r>
        <w:rPr>
          <w:rFonts w:hint="eastAsia" w:hAnsi="宋体" w:cs="宋体"/>
          <w:color w:val="auto"/>
          <w:lang w:val="en-US" w:eastAsia="zh-CN"/>
        </w:rPr>
        <w:t>应能根据</w:t>
      </w:r>
      <w:r>
        <w:rPr>
          <w:rFonts w:hint="eastAsia" w:hAnsi="宋体" w:eastAsia="宋体" w:cs="宋体"/>
          <w:color w:val="auto"/>
          <w:lang w:val="en-US" w:eastAsia="zh-CN"/>
        </w:rPr>
        <w:t>管网智能分析</w:t>
      </w:r>
      <w:r>
        <w:rPr>
          <w:rFonts w:hint="eastAsia" w:hAnsi="宋体" w:cs="宋体"/>
          <w:color w:val="auto"/>
          <w:lang w:val="en-US" w:eastAsia="zh-CN"/>
        </w:rPr>
        <w:t>的</w:t>
      </w:r>
      <w:r>
        <w:rPr>
          <w:rFonts w:hint="eastAsia" w:hAnsi="宋体" w:eastAsia="宋体" w:cs="宋体"/>
          <w:color w:val="auto"/>
          <w:lang w:val="en-US" w:eastAsia="zh-CN"/>
        </w:rPr>
        <w:t>结果快速准确地定位和</w:t>
      </w:r>
      <w:r>
        <w:rPr>
          <w:rFonts w:hint="eastAsia" w:hAnsi="宋体" w:cs="宋体"/>
          <w:color w:val="auto"/>
          <w:lang w:val="en-US" w:eastAsia="zh-CN"/>
        </w:rPr>
        <w:t>确定</w:t>
      </w:r>
      <w:r>
        <w:rPr>
          <w:rFonts w:hint="eastAsia" w:hAnsi="宋体" w:eastAsia="宋体" w:cs="宋体"/>
          <w:color w:val="auto"/>
          <w:lang w:val="en-US" w:eastAsia="zh-CN"/>
        </w:rPr>
        <w:t>管网存在的问题，提高管网运维的效率。</w:t>
      </w:r>
    </w:p>
    <w:p w14:paraId="217E13EB">
      <w:pPr>
        <w:pStyle w:val="40"/>
        <w:spacing w:before="156" w:after="156"/>
        <w:rPr>
          <w:rFonts w:hint="default" w:eastAsia="黑体"/>
          <w:color w:val="auto"/>
          <w:lang w:val="en-US" w:eastAsia="zh-CN"/>
        </w:rPr>
      </w:pPr>
      <w:r>
        <w:rPr>
          <w:rFonts w:hint="eastAsia"/>
          <w:color w:val="auto"/>
          <w:lang w:val="en-US" w:eastAsia="zh-CN"/>
        </w:rPr>
        <w:t>7</w:t>
      </w:r>
      <w:r>
        <w:rPr>
          <w:rFonts w:hint="eastAsia"/>
          <w:color w:val="auto"/>
        </w:rPr>
        <w:t>.</w:t>
      </w:r>
      <w:r>
        <w:rPr>
          <w:rFonts w:hint="eastAsia"/>
          <w:color w:val="auto"/>
          <w:lang w:val="en-US" w:eastAsia="zh-CN"/>
        </w:rPr>
        <w:t>4</w:t>
      </w:r>
      <w:r>
        <w:rPr>
          <w:rFonts w:hint="eastAsia"/>
          <w:color w:val="auto"/>
        </w:rPr>
        <w:t xml:space="preserve"> </w:t>
      </w:r>
      <w:r>
        <w:rPr>
          <w:rFonts w:hint="eastAsia"/>
          <w:color w:val="auto"/>
          <w:lang w:val="en-US" w:eastAsia="zh-CN"/>
        </w:rPr>
        <w:t>智能预警</w:t>
      </w:r>
    </w:p>
    <w:p w14:paraId="0F359E14">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7.4.1排水管网当发生以下场景时，应及时发出预警：</w:t>
      </w:r>
    </w:p>
    <w:p w14:paraId="0035DEDC">
      <w:pPr>
        <w:pStyle w:val="41"/>
        <w:numPr>
          <w:ilvl w:val="0"/>
          <w:numId w:val="58"/>
        </w:numPr>
        <w:tabs>
          <w:tab w:val="center" w:pos="4201"/>
          <w:tab w:val="right" w:leader="dot" w:pos="9298"/>
        </w:tabs>
        <w:ind w:left="726" w:leftChars="0" w:hanging="306" w:firstLineChars="0"/>
        <w:rPr>
          <w:rFonts w:hint="eastAsia" w:ascii="宋体" w:hAnsi="宋体" w:eastAsia="宋体" w:cs="宋体"/>
          <w:color w:val="auto"/>
          <w:sz w:val="21"/>
          <w:szCs w:val="20"/>
          <w:lang w:val="en-US" w:eastAsia="zh-CN"/>
        </w:rPr>
      </w:pPr>
      <w:r>
        <w:rPr>
          <w:rFonts w:hint="eastAsia" w:ascii="宋体" w:hAnsi="宋体" w:eastAsia="宋体" w:cs="宋体"/>
          <w:color w:val="auto"/>
          <w:sz w:val="21"/>
          <w:szCs w:val="20"/>
          <w:lang w:val="en-US" w:eastAsia="zh-CN"/>
        </w:rPr>
        <w:t>易涝点积水：基于液位传感器监测数据，当积水深度超过设计阈值（如≥30cm）时，触发红色预警；</w:t>
      </w:r>
    </w:p>
    <w:p w14:paraId="47612405">
      <w:pPr>
        <w:pStyle w:val="41"/>
        <w:numPr>
          <w:ilvl w:val="0"/>
          <w:numId w:val="58"/>
        </w:numPr>
        <w:tabs>
          <w:tab w:val="center" w:pos="4201"/>
          <w:tab w:val="right" w:leader="dot" w:pos="9298"/>
        </w:tabs>
        <w:ind w:left="726" w:leftChars="0" w:hanging="306" w:firstLineChars="0"/>
        <w:rPr>
          <w:rFonts w:hint="eastAsia" w:ascii="宋体" w:hAnsi="宋体" w:eastAsia="宋体" w:cs="宋体"/>
          <w:color w:val="auto"/>
          <w:sz w:val="21"/>
          <w:szCs w:val="20"/>
          <w:lang w:val="en-US" w:eastAsia="zh-CN"/>
        </w:rPr>
      </w:pPr>
      <w:r>
        <w:rPr>
          <w:rFonts w:hint="eastAsia" w:ascii="宋体" w:hAnsi="宋体" w:eastAsia="宋体" w:cs="宋体"/>
          <w:color w:val="auto"/>
          <w:sz w:val="21"/>
          <w:szCs w:val="20"/>
          <w:lang w:val="en-US" w:eastAsia="zh-CN"/>
        </w:rPr>
        <w:t>窨井液位超高：结合管网设计水位与实时液位数据，液位超过管顶标高时启动橙色预警，防止污水溢流；</w:t>
      </w:r>
    </w:p>
    <w:p w14:paraId="65E83B04">
      <w:pPr>
        <w:pStyle w:val="41"/>
        <w:numPr>
          <w:ilvl w:val="0"/>
          <w:numId w:val="58"/>
        </w:numPr>
        <w:tabs>
          <w:tab w:val="center" w:pos="4201"/>
          <w:tab w:val="right" w:leader="dot" w:pos="9298"/>
        </w:tabs>
        <w:ind w:left="726" w:leftChars="0" w:hanging="306" w:firstLineChars="0"/>
        <w:rPr>
          <w:rFonts w:hint="eastAsia" w:ascii="宋体" w:hAnsi="宋体" w:eastAsia="宋体" w:cs="宋体"/>
          <w:color w:val="auto"/>
          <w:sz w:val="21"/>
          <w:szCs w:val="20"/>
          <w:lang w:val="en-US" w:eastAsia="zh-CN"/>
        </w:rPr>
      </w:pPr>
      <w:r>
        <w:rPr>
          <w:rFonts w:hint="eastAsia" w:ascii="宋体" w:hAnsi="宋体" w:eastAsia="宋体" w:cs="宋体"/>
          <w:color w:val="auto"/>
          <w:sz w:val="21"/>
          <w:szCs w:val="20"/>
          <w:lang w:val="en-US" w:eastAsia="zh-CN"/>
        </w:rPr>
        <w:t>排口旱天污水直排：通过水质传感器（COD、氨氮）监测旱天排水口水质异常，判定为污水直排时触发黄色预警；</w:t>
      </w:r>
    </w:p>
    <w:p w14:paraId="5CF14A52">
      <w:pPr>
        <w:pStyle w:val="41"/>
        <w:numPr>
          <w:ilvl w:val="0"/>
          <w:numId w:val="58"/>
        </w:numPr>
        <w:tabs>
          <w:tab w:val="center" w:pos="4201"/>
          <w:tab w:val="right" w:leader="dot" w:pos="9298"/>
        </w:tabs>
        <w:ind w:left="726" w:leftChars="0" w:hanging="306" w:firstLineChars="0"/>
        <w:rPr>
          <w:rFonts w:hint="eastAsia" w:ascii="宋体" w:hAnsi="宋体" w:eastAsia="宋体" w:cs="宋体"/>
          <w:color w:val="auto"/>
          <w:sz w:val="21"/>
          <w:szCs w:val="20"/>
          <w:lang w:val="en-US" w:eastAsia="zh-CN"/>
        </w:rPr>
      </w:pPr>
      <w:r>
        <w:rPr>
          <w:rFonts w:hint="eastAsia" w:ascii="宋体" w:hAnsi="宋体" w:eastAsia="宋体" w:cs="宋体"/>
          <w:color w:val="auto"/>
          <w:sz w:val="21"/>
          <w:szCs w:val="20"/>
          <w:lang w:val="en-US" w:eastAsia="zh-CN"/>
        </w:rPr>
        <w:t>工厂偷排或超标排放：采用电导率、特定污染物（如重金属）突变分析，结合重点排水户监控数据，识别非法排放行为；</w:t>
      </w:r>
    </w:p>
    <w:p w14:paraId="009E4BA5">
      <w:pPr>
        <w:pStyle w:val="41"/>
        <w:numPr>
          <w:ilvl w:val="0"/>
          <w:numId w:val="58"/>
        </w:numPr>
        <w:tabs>
          <w:tab w:val="center" w:pos="4201"/>
          <w:tab w:val="right" w:leader="dot" w:pos="9298"/>
        </w:tabs>
        <w:ind w:left="726" w:leftChars="0" w:hanging="306" w:firstLineChars="0"/>
        <w:rPr>
          <w:rFonts w:hint="eastAsia" w:ascii="宋体" w:hAnsi="宋体" w:eastAsia="宋体" w:cs="宋体"/>
          <w:color w:val="auto"/>
          <w:sz w:val="21"/>
          <w:szCs w:val="20"/>
          <w:lang w:val="en-US" w:eastAsia="zh-CN"/>
        </w:rPr>
      </w:pPr>
      <w:r>
        <w:rPr>
          <w:rFonts w:hint="eastAsia" w:ascii="宋体" w:hAnsi="宋体" w:eastAsia="宋体" w:cs="宋体"/>
          <w:color w:val="auto"/>
          <w:sz w:val="21"/>
          <w:szCs w:val="20"/>
          <w:lang w:val="en-US" w:eastAsia="zh-CN"/>
        </w:rPr>
        <w:t>有害气体浓度超标：地下空间H₂S或CH₄浓度超过CJJ 6限值时，触发声光报警并推送应急指令；</w:t>
      </w:r>
    </w:p>
    <w:p w14:paraId="48BB90E0">
      <w:pPr>
        <w:pStyle w:val="41"/>
        <w:numPr>
          <w:ilvl w:val="0"/>
          <w:numId w:val="58"/>
        </w:numPr>
        <w:tabs>
          <w:tab w:val="center" w:pos="4201"/>
          <w:tab w:val="right" w:leader="dot" w:pos="9298"/>
        </w:tabs>
        <w:ind w:left="726" w:leftChars="0" w:hanging="306" w:firstLineChars="0"/>
        <w:rPr>
          <w:rFonts w:hint="eastAsia" w:ascii="宋体" w:hAnsi="宋体" w:eastAsia="宋体" w:cs="宋体"/>
          <w:color w:val="auto"/>
          <w:sz w:val="21"/>
          <w:szCs w:val="20"/>
          <w:lang w:val="en-US" w:eastAsia="zh-CN"/>
        </w:rPr>
      </w:pPr>
      <w:r>
        <w:rPr>
          <w:rFonts w:hint="eastAsia" w:ascii="宋体" w:hAnsi="宋体" w:eastAsia="宋体" w:cs="宋体"/>
          <w:color w:val="auto"/>
          <w:sz w:val="21"/>
          <w:szCs w:val="20"/>
          <w:lang w:val="en-US" w:eastAsia="zh-CN"/>
        </w:rPr>
        <w:t>设备运行故障：泵站、闸门等设备状态异常（如电流超限、阀门卡阻）时，自动生成工单并标记故障等级。</w:t>
      </w:r>
    </w:p>
    <w:p w14:paraId="1D03F071">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7.4.2</w:t>
      </w:r>
      <w:r>
        <w:rPr>
          <w:rFonts w:hint="eastAsia" w:hAnsi="宋体" w:cs="宋体"/>
          <w:color w:val="auto"/>
          <w:lang w:val="en-US" w:eastAsia="zh-CN"/>
        </w:rPr>
        <w:t xml:space="preserve"> </w:t>
      </w:r>
      <w:r>
        <w:rPr>
          <w:rFonts w:hint="eastAsia" w:hAnsi="宋体" w:eastAsia="宋体" w:cs="宋体"/>
          <w:color w:val="auto"/>
          <w:lang w:val="en-US" w:eastAsia="zh-CN"/>
        </w:rPr>
        <w:t>管网智能预警模型宜</w:t>
      </w:r>
      <w:r>
        <w:rPr>
          <w:rFonts w:hint="default" w:hAnsi="宋体" w:eastAsia="宋体" w:cs="宋体"/>
          <w:color w:val="auto"/>
          <w:lang w:val="en-US" w:eastAsia="zh-CN"/>
        </w:rPr>
        <w:t>基于机器学习算法建立多参数（</w:t>
      </w:r>
      <w:r>
        <w:rPr>
          <w:rFonts w:hint="eastAsia" w:hAnsi="宋体" w:eastAsia="宋体" w:cs="宋体"/>
          <w:color w:val="auto"/>
          <w:lang w:val="en-US" w:eastAsia="zh-CN"/>
        </w:rPr>
        <w:t>如</w:t>
      </w:r>
      <w:r>
        <w:rPr>
          <w:rFonts w:hint="default" w:hAnsi="宋体" w:eastAsia="宋体" w:cs="宋体"/>
          <w:color w:val="auto"/>
          <w:lang w:val="en-US" w:eastAsia="zh-CN"/>
        </w:rPr>
        <w:t>流量突变、液位陡升、</w:t>
      </w:r>
      <w:r>
        <w:rPr>
          <w:rFonts w:hint="eastAsia" w:hAnsi="宋体" w:eastAsia="宋体" w:cs="宋体"/>
          <w:color w:val="auto"/>
          <w:lang w:val="en-US" w:eastAsia="zh-CN"/>
        </w:rPr>
        <w:t>水质</w:t>
      </w:r>
      <w:r>
        <w:rPr>
          <w:rFonts w:hint="default" w:hAnsi="宋体" w:eastAsia="宋体" w:cs="宋体"/>
          <w:color w:val="auto"/>
          <w:lang w:val="en-US" w:eastAsia="zh-CN"/>
        </w:rPr>
        <w:t>异常等）融合分析模型</w:t>
      </w:r>
      <w:r>
        <w:rPr>
          <w:rFonts w:hint="eastAsia" w:hAnsi="宋体" w:eastAsia="宋体" w:cs="宋体"/>
          <w:color w:val="auto"/>
          <w:lang w:val="en-US" w:eastAsia="zh-CN"/>
        </w:rPr>
        <w:t>。</w:t>
      </w:r>
    </w:p>
    <w:p w14:paraId="3725EDBA">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7.4.3 预警预报响应时间从数据异常到系统报警延迟应小于30秒。</w:t>
      </w:r>
    </w:p>
    <w:p w14:paraId="6A28A224">
      <w:pPr>
        <w:pStyle w:val="41"/>
        <w:ind w:left="0" w:leftChars="0" w:firstLine="0" w:firstLineChars="0"/>
        <w:rPr>
          <w:rFonts w:hint="default" w:hAnsi="宋体" w:eastAsia="宋体" w:cs="宋体"/>
          <w:color w:val="auto"/>
          <w:lang w:val="en-US" w:eastAsia="zh-CN"/>
        </w:rPr>
      </w:pPr>
      <w:r>
        <w:rPr>
          <w:rFonts w:hint="eastAsia" w:hAnsi="宋体" w:eastAsia="宋体" w:cs="宋体"/>
          <w:color w:val="auto"/>
          <w:lang w:val="en-US" w:eastAsia="zh-CN"/>
        </w:rPr>
        <w:t>7.4.</w:t>
      </w:r>
      <w:r>
        <w:rPr>
          <w:rFonts w:hint="eastAsia" w:hAnsi="宋体" w:cs="宋体"/>
          <w:color w:val="auto"/>
          <w:lang w:val="en-US" w:eastAsia="zh-CN"/>
        </w:rPr>
        <w:t xml:space="preserve">4 </w:t>
      </w:r>
      <w:r>
        <w:rPr>
          <w:rFonts w:hint="eastAsia" w:hAnsi="宋体" w:eastAsia="宋体" w:cs="宋体"/>
          <w:color w:val="auto"/>
          <w:lang w:val="en-US" w:eastAsia="zh-CN"/>
        </w:rPr>
        <w:t>预警信息应按照事件严重性、影响范围分级分类发布。宜采用红色、橙色、黄色、蓝色代表不同的等级。</w:t>
      </w:r>
    </w:p>
    <w:p w14:paraId="23FE75D1">
      <w:pPr>
        <w:pStyle w:val="41"/>
        <w:ind w:left="0" w:leftChars="0" w:firstLine="0" w:firstLineChars="0"/>
        <w:rPr>
          <w:rFonts w:hint="default" w:hAnsi="宋体" w:eastAsia="宋体" w:cs="宋体"/>
          <w:color w:val="auto"/>
          <w:lang w:val="en-US" w:eastAsia="zh-CN"/>
        </w:rPr>
      </w:pPr>
      <w:r>
        <w:rPr>
          <w:rFonts w:hint="eastAsia" w:hAnsi="宋体" w:eastAsia="宋体" w:cs="宋体"/>
          <w:color w:val="auto"/>
          <w:lang w:val="en-US" w:eastAsia="zh-CN"/>
        </w:rPr>
        <w:t>7.4.</w:t>
      </w:r>
      <w:r>
        <w:rPr>
          <w:rFonts w:hint="eastAsia" w:hAnsi="宋体" w:cs="宋体"/>
          <w:color w:val="auto"/>
          <w:lang w:val="en-US" w:eastAsia="zh-CN"/>
        </w:rPr>
        <w:t xml:space="preserve">5 </w:t>
      </w:r>
      <w:r>
        <w:rPr>
          <w:rFonts w:hint="default" w:hAnsi="宋体" w:eastAsia="宋体" w:cs="宋体"/>
          <w:color w:val="auto"/>
          <w:lang w:val="en-US" w:eastAsia="zh-CN"/>
        </w:rPr>
        <w:t>预警信息需与GIS系统联动，自动标注隐患点坐标及影响范围。</w:t>
      </w:r>
    </w:p>
    <w:p w14:paraId="40EE6B45">
      <w:pPr>
        <w:pStyle w:val="40"/>
        <w:spacing w:before="156" w:after="156"/>
        <w:rPr>
          <w:rFonts w:hint="default"/>
          <w:color w:val="auto"/>
          <w:lang w:val="en-US" w:eastAsia="zh-CN"/>
        </w:rPr>
      </w:pPr>
      <w:r>
        <w:rPr>
          <w:rFonts w:hint="eastAsia"/>
          <w:color w:val="auto"/>
          <w:lang w:val="en-US" w:eastAsia="zh-CN"/>
        </w:rPr>
        <w:t>7</w:t>
      </w:r>
      <w:r>
        <w:rPr>
          <w:rFonts w:hint="eastAsia"/>
          <w:color w:val="auto"/>
        </w:rPr>
        <w:t>.</w:t>
      </w:r>
      <w:r>
        <w:rPr>
          <w:rFonts w:hint="eastAsia"/>
          <w:color w:val="auto"/>
          <w:lang w:val="en-US" w:eastAsia="zh-CN"/>
        </w:rPr>
        <w:t>5</w:t>
      </w:r>
      <w:r>
        <w:rPr>
          <w:rFonts w:hint="eastAsia"/>
          <w:color w:val="auto"/>
        </w:rPr>
        <w:t xml:space="preserve"> </w:t>
      </w:r>
      <w:r>
        <w:rPr>
          <w:rFonts w:hint="eastAsia"/>
          <w:color w:val="auto"/>
          <w:lang w:val="en-US" w:eastAsia="zh-CN"/>
        </w:rPr>
        <w:t>智能调控</w:t>
      </w:r>
    </w:p>
    <w:p w14:paraId="20AAABD3">
      <w:pPr>
        <w:pStyle w:val="41"/>
        <w:ind w:left="0" w:leftChars="0" w:firstLine="0" w:firstLineChars="0"/>
        <w:rPr>
          <w:rFonts w:hint="default" w:hAnsi="宋体" w:eastAsia="宋体" w:cs="宋体"/>
          <w:color w:val="auto"/>
          <w:lang w:val="en-US" w:eastAsia="zh-CN"/>
        </w:rPr>
      </w:pPr>
      <w:r>
        <w:rPr>
          <w:rFonts w:hint="eastAsia" w:hAnsi="宋体" w:eastAsia="宋体" w:cs="宋体"/>
          <w:color w:val="auto"/>
          <w:lang w:val="en-US" w:eastAsia="zh-CN"/>
        </w:rPr>
        <w:t>7.5.1</w:t>
      </w:r>
      <w:r>
        <w:rPr>
          <w:rFonts w:hint="eastAsia" w:hAnsi="宋体" w:cs="宋体"/>
          <w:color w:val="auto"/>
          <w:lang w:val="en-US" w:eastAsia="zh-CN"/>
        </w:rPr>
        <w:t xml:space="preserve"> </w:t>
      </w:r>
      <w:r>
        <w:rPr>
          <w:rFonts w:hint="eastAsia" w:hAnsi="宋体" w:eastAsia="宋体" w:cs="宋体"/>
          <w:color w:val="auto"/>
          <w:lang w:val="en-US" w:eastAsia="zh-CN"/>
        </w:rPr>
        <w:t>排水管网的智能调控技术应用宜基于管网水力水质模型，结合管网实时的监测数据，通过对核心排水设施（如智能分流井、泵站等）的智能调控，实现排水</w:t>
      </w:r>
      <w:r>
        <w:rPr>
          <w:rFonts w:hint="eastAsia" w:hAnsi="宋体" w:cs="宋体"/>
          <w:color w:val="auto"/>
          <w:lang w:val="en-US" w:eastAsia="zh-CN"/>
        </w:rPr>
        <w:t>管网</w:t>
      </w:r>
      <w:r>
        <w:rPr>
          <w:rFonts w:hint="eastAsia" w:hAnsi="宋体" w:eastAsia="宋体" w:cs="宋体"/>
          <w:color w:val="auto"/>
          <w:lang w:val="en-US" w:eastAsia="zh-CN"/>
        </w:rPr>
        <w:t>的</w:t>
      </w:r>
      <w:r>
        <w:rPr>
          <w:rFonts w:hint="eastAsia" w:hAnsi="宋体" w:cs="宋体"/>
          <w:color w:val="auto"/>
          <w:lang w:val="en-US" w:eastAsia="zh-CN"/>
        </w:rPr>
        <w:t>智能调控</w:t>
      </w:r>
      <w:r>
        <w:rPr>
          <w:rFonts w:hint="default" w:hAnsi="宋体" w:eastAsia="宋体" w:cs="宋体"/>
          <w:color w:val="auto"/>
          <w:lang w:val="en-US" w:eastAsia="zh-CN"/>
        </w:rPr>
        <w:t>。</w:t>
      </w:r>
    </w:p>
    <w:p w14:paraId="1D37FC7C">
      <w:pPr>
        <w:pStyle w:val="41"/>
        <w:ind w:left="0" w:leftChars="0" w:firstLine="0" w:firstLineChars="0"/>
        <w:rPr>
          <w:rFonts w:hint="eastAsia" w:hAnsi="宋体" w:cs="宋体"/>
          <w:color w:val="auto"/>
          <w:lang w:val="en-US" w:eastAsia="zh-CN"/>
        </w:rPr>
      </w:pPr>
      <w:r>
        <w:rPr>
          <w:rFonts w:hint="eastAsia" w:hAnsi="宋体" w:eastAsia="宋体" w:cs="宋体"/>
          <w:color w:val="auto"/>
          <w:lang w:val="en-US" w:eastAsia="zh-CN"/>
        </w:rPr>
        <w:t>7.5.</w:t>
      </w:r>
      <w:r>
        <w:rPr>
          <w:rFonts w:hint="eastAsia" w:hAnsi="宋体" w:cs="宋体"/>
          <w:color w:val="auto"/>
          <w:lang w:val="en-US" w:eastAsia="zh-CN"/>
        </w:rPr>
        <w:t xml:space="preserve">2 </w:t>
      </w:r>
      <w:r>
        <w:rPr>
          <w:rFonts w:hint="eastAsia" w:hAnsi="宋体" w:eastAsia="宋体" w:cs="宋体"/>
          <w:color w:val="auto"/>
          <w:lang w:val="en-US" w:eastAsia="zh-CN"/>
        </w:rPr>
        <w:t>排水管网的智能调控</w:t>
      </w:r>
      <w:r>
        <w:rPr>
          <w:rFonts w:hint="eastAsia" w:hAnsi="宋体" w:cs="宋体"/>
          <w:color w:val="auto"/>
          <w:lang w:val="en-US" w:eastAsia="zh-CN"/>
        </w:rPr>
        <w:t>应符合以下规定：</w:t>
      </w:r>
    </w:p>
    <w:p w14:paraId="6656F5CA">
      <w:pPr>
        <w:pStyle w:val="41"/>
        <w:numPr>
          <w:ilvl w:val="0"/>
          <w:numId w:val="59"/>
        </w:numPr>
        <w:tabs>
          <w:tab w:val="center" w:pos="4201"/>
          <w:tab w:val="right" w:leader="dot" w:pos="9298"/>
        </w:tabs>
        <w:ind w:left="726" w:leftChars="0" w:hanging="306" w:firstLineChars="0"/>
        <w:rPr>
          <w:rFonts w:hint="eastAsia"/>
          <w:color w:val="auto"/>
          <w:lang w:val="en-US" w:eastAsia="zh-CN"/>
        </w:rPr>
      </w:pPr>
      <w:r>
        <w:rPr>
          <w:rFonts w:hint="eastAsia" w:cs="Times New Roman"/>
          <w:color w:val="auto"/>
          <w:lang w:val="en-US" w:eastAsia="zh-CN"/>
        </w:rPr>
        <w:t>排水管网上的监测设备、智能分流井设施、调蓄池设施、泵站设施和处理设施应按一体化原则统一管理，应能实现联合调控；</w:t>
      </w:r>
    </w:p>
    <w:p w14:paraId="69C2B0CA">
      <w:pPr>
        <w:pStyle w:val="41"/>
        <w:numPr>
          <w:ilvl w:val="0"/>
          <w:numId w:val="59"/>
        </w:numPr>
        <w:tabs>
          <w:tab w:val="center" w:pos="4201"/>
          <w:tab w:val="right" w:leader="dot" w:pos="9298"/>
        </w:tabs>
        <w:ind w:left="726" w:leftChars="0" w:hanging="306" w:firstLineChars="0"/>
        <w:rPr>
          <w:rFonts w:hint="eastAsia"/>
          <w:color w:val="auto"/>
          <w:lang w:val="en-US" w:eastAsia="zh-CN"/>
        </w:rPr>
      </w:pPr>
      <w:r>
        <w:rPr>
          <w:rFonts w:hint="eastAsia" w:cs="Times New Roman"/>
          <w:color w:val="auto"/>
          <w:lang w:val="en-US" w:eastAsia="zh-CN"/>
        </w:rPr>
        <w:t>宜建设集成包括降雨预报、水动力学模块、水质模块、大数据、人工智能技术等在内的源网厂河耦合的排水系统预测预报系统；</w:t>
      </w:r>
    </w:p>
    <w:p w14:paraId="18E6E206">
      <w:pPr>
        <w:pStyle w:val="41"/>
        <w:numPr>
          <w:ilvl w:val="0"/>
          <w:numId w:val="59"/>
        </w:numPr>
        <w:tabs>
          <w:tab w:val="center" w:pos="4201"/>
          <w:tab w:val="right" w:leader="dot" w:pos="9298"/>
        </w:tabs>
        <w:ind w:left="726" w:leftChars="0" w:hanging="306" w:firstLineChars="0"/>
        <w:rPr>
          <w:rFonts w:hint="default" w:hAnsi="宋体" w:cs="宋体"/>
          <w:color w:val="auto"/>
          <w:lang w:val="en-US" w:eastAsia="zh-CN"/>
        </w:rPr>
      </w:pPr>
      <w:r>
        <w:rPr>
          <w:rFonts w:hint="eastAsia" w:hAnsi="宋体" w:eastAsia="宋体" w:cs="宋体"/>
          <w:color w:val="auto"/>
          <w:lang w:val="en-US" w:eastAsia="zh-CN"/>
        </w:rPr>
        <w:t>智能调控</w:t>
      </w:r>
      <w:r>
        <w:rPr>
          <w:rFonts w:hint="eastAsia"/>
          <w:color w:val="auto"/>
          <w:lang w:val="en-US" w:eastAsia="zh-CN"/>
        </w:rPr>
        <w:t>系统应兼顾水污染控制和城市排水安全.</w:t>
      </w:r>
      <w:r>
        <w:rPr>
          <w:rFonts w:hint="eastAsia" w:hAnsi="宋体" w:cs="宋体"/>
          <w:color w:val="auto"/>
          <w:lang w:val="en-US" w:eastAsia="zh-CN"/>
        </w:rPr>
        <w:t>雨天时，智能调控应</w:t>
      </w:r>
      <w:r>
        <w:rPr>
          <w:rFonts w:hint="eastAsia" w:hAnsi="宋体" w:eastAsia="宋体" w:cs="宋体"/>
          <w:color w:val="auto"/>
          <w:lang w:val="en-US" w:eastAsia="zh-CN"/>
        </w:rPr>
        <w:t>以内涝程度缓解</w:t>
      </w:r>
      <w:r>
        <w:rPr>
          <w:rFonts w:hint="eastAsia" w:hAnsi="宋体" w:cs="宋体"/>
          <w:color w:val="auto"/>
          <w:lang w:val="en-US" w:eastAsia="zh-CN"/>
        </w:rPr>
        <w:t>为高</w:t>
      </w:r>
      <w:r>
        <w:rPr>
          <w:rFonts w:hint="eastAsia" w:hAnsi="宋体" w:eastAsia="宋体" w:cs="宋体"/>
          <w:color w:val="auto"/>
          <w:lang w:val="en-US" w:eastAsia="zh-CN"/>
        </w:rPr>
        <w:t>优先级</w:t>
      </w:r>
      <w:r>
        <w:rPr>
          <w:rFonts w:hint="eastAsia" w:hAnsi="宋体" w:cs="宋体"/>
          <w:color w:val="auto"/>
          <w:lang w:val="en-US" w:eastAsia="zh-CN"/>
        </w:rPr>
        <w:t>，</w:t>
      </w:r>
      <w:r>
        <w:rPr>
          <w:rFonts w:hint="eastAsia" w:hAnsi="宋体" w:eastAsia="宋体" w:cs="宋体"/>
          <w:color w:val="auto"/>
          <w:lang w:val="en-US" w:eastAsia="zh-CN"/>
        </w:rPr>
        <w:t>溢流污染削减</w:t>
      </w:r>
      <w:r>
        <w:rPr>
          <w:rFonts w:hint="eastAsia" w:hAnsi="宋体" w:cs="宋体"/>
          <w:color w:val="auto"/>
          <w:lang w:val="en-US" w:eastAsia="zh-CN"/>
        </w:rPr>
        <w:t>为低</w:t>
      </w:r>
      <w:r>
        <w:rPr>
          <w:rFonts w:hint="eastAsia" w:hAnsi="宋体" w:eastAsia="宋体" w:cs="宋体"/>
          <w:color w:val="auto"/>
          <w:lang w:val="en-US" w:eastAsia="zh-CN"/>
        </w:rPr>
        <w:t>优先级</w:t>
      </w:r>
      <w:r>
        <w:rPr>
          <w:rFonts w:hint="eastAsia" w:hAnsi="宋体" w:cs="宋体"/>
          <w:color w:val="auto"/>
          <w:lang w:val="en-US" w:eastAsia="zh-CN"/>
        </w:rPr>
        <w:t>。</w:t>
      </w:r>
    </w:p>
    <w:p w14:paraId="430540FD">
      <w:pPr>
        <w:pStyle w:val="41"/>
        <w:numPr>
          <w:ilvl w:val="0"/>
          <w:numId w:val="0"/>
        </w:numPr>
        <w:tabs>
          <w:tab w:val="center" w:pos="4201"/>
          <w:tab w:val="right" w:leader="dot" w:pos="9298"/>
        </w:tabs>
        <w:rPr>
          <w:rFonts w:hint="eastAsia" w:hAnsi="宋体" w:cs="宋体"/>
          <w:color w:val="auto"/>
          <w:lang w:val="en-US" w:eastAsia="zh-CN"/>
        </w:rPr>
      </w:pPr>
      <w:r>
        <w:rPr>
          <w:rFonts w:hint="eastAsia" w:hAnsi="宋体" w:eastAsia="宋体" w:cs="宋体"/>
          <w:color w:val="auto"/>
          <w:lang w:val="en-US" w:eastAsia="zh-CN"/>
        </w:rPr>
        <w:t>7.5.</w:t>
      </w:r>
      <w:r>
        <w:rPr>
          <w:rFonts w:hint="eastAsia" w:hAnsi="宋体" w:cs="宋体"/>
          <w:color w:val="auto"/>
          <w:lang w:val="en-US" w:eastAsia="zh-CN"/>
        </w:rPr>
        <w:t xml:space="preserve">3 </w:t>
      </w:r>
      <w:r>
        <w:rPr>
          <w:rFonts w:hint="eastAsia" w:hAnsi="宋体" w:eastAsia="宋体" w:cs="宋体"/>
          <w:color w:val="auto"/>
          <w:lang w:val="en-US" w:eastAsia="zh-CN"/>
        </w:rPr>
        <w:t xml:space="preserve"> </w:t>
      </w:r>
      <w:r>
        <w:rPr>
          <w:rFonts w:hint="eastAsia" w:hAnsi="宋体" w:cs="宋体"/>
          <w:color w:val="auto"/>
          <w:lang w:val="en-US" w:eastAsia="zh-CN"/>
        </w:rPr>
        <w:t>城市排水系统智能调控宜采用以下方案：</w:t>
      </w:r>
    </w:p>
    <w:p w14:paraId="46B604CF">
      <w:pPr>
        <w:pStyle w:val="41"/>
        <w:numPr>
          <w:ilvl w:val="0"/>
          <w:numId w:val="60"/>
        </w:numPr>
        <w:tabs>
          <w:tab w:val="center" w:pos="4201"/>
          <w:tab w:val="right" w:leader="dot" w:pos="9298"/>
        </w:tabs>
        <w:ind w:left="726" w:leftChars="0" w:hanging="306" w:firstLineChars="0"/>
        <w:rPr>
          <w:rFonts w:hint="eastAsia"/>
          <w:color w:val="auto"/>
          <w:lang w:val="en-US" w:eastAsia="zh-CN"/>
        </w:rPr>
      </w:pPr>
      <w:r>
        <w:rPr>
          <w:rFonts w:hint="eastAsia"/>
          <w:color w:val="auto"/>
          <w:lang w:val="en-US" w:eastAsia="zh-CN"/>
        </w:rPr>
        <w:t>旱天时，排口的防倒灌设施关闭，防止河湖水倒灌至管网，截流设施截流生活污水输送至污水处理设施；</w:t>
      </w:r>
    </w:p>
    <w:p w14:paraId="1CD6C50A">
      <w:pPr>
        <w:pStyle w:val="41"/>
        <w:numPr>
          <w:ilvl w:val="0"/>
          <w:numId w:val="60"/>
        </w:numPr>
        <w:tabs>
          <w:tab w:val="center" w:pos="4201"/>
          <w:tab w:val="right" w:leader="dot" w:pos="9298"/>
        </w:tabs>
        <w:ind w:left="726" w:leftChars="0" w:hanging="306" w:firstLineChars="0"/>
        <w:rPr>
          <w:rFonts w:hint="eastAsia"/>
          <w:color w:val="auto"/>
          <w:lang w:val="en-US" w:eastAsia="zh-CN"/>
        </w:rPr>
      </w:pPr>
      <w:r>
        <w:rPr>
          <w:rFonts w:hint="eastAsia" w:ascii="宋体" w:eastAsia="宋体" w:cs="Times New Roman"/>
          <w:color w:val="auto"/>
          <w:lang w:val="en-US" w:eastAsia="zh-CN"/>
        </w:rPr>
        <w:t>降雨来临前，提升处理设施的处理量，降低污水管网和污水处理厂进水泵房运行水位，腾出管网的空间</w:t>
      </w:r>
      <w:r>
        <w:rPr>
          <w:rFonts w:hint="eastAsia" w:hAnsi="宋体" w:cs="宋体"/>
          <w:color w:val="auto"/>
          <w:szCs w:val="21"/>
          <w:lang w:val="en-US" w:eastAsia="zh-CN"/>
        </w:rPr>
        <w:t>；减低河湖的水位，腾出水体的库容；</w:t>
      </w:r>
    </w:p>
    <w:p w14:paraId="6A56579E">
      <w:pPr>
        <w:pStyle w:val="41"/>
        <w:numPr>
          <w:ilvl w:val="0"/>
          <w:numId w:val="60"/>
        </w:numPr>
        <w:tabs>
          <w:tab w:val="center" w:pos="4201"/>
          <w:tab w:val="right" w:leader="dot" w:pos="9298"/>
        </w:tabs>
        <w:ind w:left="726" w:leftChars="0" w:hanging="306" w:firstLineChars="0"/>
        <w:rPr>
          <w:rFonts w:hint="eastAsia"/>
          <w:color w:val="auto"/>
          <w:lang w:val="en-US" w:eastAsia="zh-CN"/>
        </w:rPr>
      </w:pPr>
      <w:r>
        <w:rPr>
          <w:rFonts w:hint="eastAsia"/>
          <w:color w:val="auto"/>
          <w:lang w:val="en-US" w:eastAsia="zh-CN"/>
        </w:rPr>
        <w:t>降雨初期，截流设施出口下开式堰门、柔性截流装置和闸门等设备在安全液位以内时保持截流状态，截流设施截流初雨至处理设施处理；</w:t>
      </w:r>
    </w:p>
    <w:p w14:paraId="78C164E8">
      <w:pPr>
        <w:pStyle w:val="41"/>
        <w:numPr>
          <w:ilvl w:val="0"/>
          <w:numId w:val="60"/>
        </w:numPr>
        <w:tabs>
          <w:tab w:val="center" w:pos="4201"/>
          <w:tab w:val="right" w:leader="dot" w:pos="9298"/>
        </w:tabs>
        <w:ind w:left="726" w:leftChars="0" w:hanging="306" w:firstLineChars="0"/>
        <w:rPr>
          <w:rFonts w:hint="default"/>
          <w:color w:val="auto"/>
          <w:lang w:val="en-US" w:eastAsia="zh-CN"/>
        </w:rPr>
      </w:pPr>
      <w:r>
        <w:rPr>
          <w:rFonts w:hint="eastAsia"/>
          <w:color w:val="auto"/>
          <w:lang w:val="en-US" w:eastAsia="zh-CN"/>
        </w:rPr>
        <w:t>污水处理设施在雨季时满负荷运行，超过污水处理设施最大处理量的污水进入快速净化设施处理，进水超过污水处理设施和快速净化设施处理能力时，超量污水进入调蓄设施；</w:t>
      </w:r>
    </w:p>
    <w:p w14:paraId="11B87DAE">
      <w:pPr>
        <w:pStyle w:val="41"/>
        <w:numPr>
          <w:ilvl w:val="0"/>
          <w:numId w:val="60"/>
        </w:numPr>
        <w:tabs>
          <w:tab w:val="center" w:pos="4201"/>
          <w:tab w:val="right" w:leader="dot" w:pos="9298"/>
        </w:tabs>
        <w:ind w:left="726" w:leftChars="0" w:hanging="306" w:firstLineChars="0"/>
        <w:rPr>
          <w:rFonts w:hint="eastAsia"/>
          <w:color w:val="auto"/>
          <w:lang w:val="en-US" w:eastAsia="zh-CN"/>
        </w:rPr>
      </w:pPr>
      <w:r>
        <w:rPr>
          <w:rFonts w:hint="eastAsia"/>
          <w:color w:val="auto"/>
          <w:lang w:val="en-US" w:eastAsia="zh-CN"/>
        </w:rPr>
        <w:t>降雨中后期，井内水质较好式，截流设施出口下开式堰门、柔性截流装置和闸门等设备开启，井内干净的雨水直排至河湖；</w:t>
      </w:r>
    </w:p>
    <w:p w14:paraId="43B22BD8">
      <w:pPr>
        <w:pStyle w:val="41"/>
        <w:numPr>
          <w:ilvl w:val="0"/>
          <w:numId w:val="60"/>
        </w:numPr>
        <w:tabs>
          <w:tab w:val="center" w:pos="4201"/>
          <w:tab w:val="right" w:leader="dot" w:pos="9298"/>
        </w:tabs>
        <w:ind w:left="726" w:leftChars="0" w:hanging="306" w:firstLineChars="0"/>
        <w:rPr>
          <w:rFonts w:hint="default" w:hAnsi="宋体" w:cs="宋体"/>
          <w:color w:val="auto"/>
          <w:lang w:val="en-US" w:eastAsia="zh-CN"/>
        </w:rPr>
      </w:pPr>
      <w:r>
        <w:rPr>
          <w:rFonts w:hint="eastAsia"/>
          <w:color w:val="auto"/>
          <w:lang w:val="en-US" w:eastAsia="zh-CN"/>
        </w:rPr>
        <w:t>降雨结束后，待下游污水处理设施有富余处理量时，调蓄池调蓄的雨污水及时输送至处理设施，及时腾空调蓄池容。</w:t>
      </w:r>
    </w:p>
    <w:p w14:paraId="18D39943">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7.5.</w:t>
      </w:r>
      <w:r>
        <w:rPr>
          <w:rFonts w:hint="eastAsia" w:hAnsi="宋体" w:cs="宋体"/>
          <w:color w:val="auto"/>
          <w:lang w:val="en-US" w:eastAsia="zh-CN"/>
        </w:rPr>
        <w:t xml:space="preserve">4 </w:t>
      </w:r>
      <w:r>
        <w:rPr>
          <w:rFonts w:hint="eastAsia" w:hAnsi="宋体" w:eastAsia="宋体" w:cs="宋体"/>
          <w:color w:val="auto"/>
          <w:lang w:val="en-US" w:eastAsia="zh-CN"/>
        </w:rPr>
        <w:t>泵站智能运行调控应符合以下规定：</w:t>
      </w:r>
    </w:p>
    <w:p w14:paraId="42D0A41E">
      <w:pPr>
        <w:pStyle w:val="41"/>
        <w:numPr>
          <w:ilvl w:val="0"/>
          <w:numId w:val="61"/>
        </w:numPr>
        <w:tabs>
          <w:tab w:val="center" w:pos="4201"/>
          <w:tab w:val="right" w:leader="dot" w:pos="9298"/>
        </w:tabs>
        <w:ind w:left="726" w:leftChars="0" w:hanging="306" w:firstLineChars="0"/>
        <w:rPr>
          <w:rFonts w:hint="eastAsia"/>
          <w:color w:val="auto"/>
          <w:lang w:val="en-US" w:eastAsia="zh-CN"/>
        </w:rPr>
      </w:pPr>
      <w:r>
        <w:rPr>
          <w:rFonts w:hint="eastAsia" w:ascii="宋体" w:eastAsia="宋体" w:cs="Times New Roman"/>
          <w:color w:val="auto"/>
          <w:lang w:val="en-US" w:eastAsia="zh-CN"/>
        </w:rPr>
        <w:t>泵站智能运行调控应包括泵站进水量、水质监测、各台水泵启停控制方案、能耗成本核算评判等功能</w:t>
      </w:r>
      <w:r>
        <w:rPr>
          <w:rFonts w:hint="eastAsia" w:hAnsi="宋体" w:cs="宋体"/>
          <w:color w:val="auto"/>
          <w:szCs w:val="21"/>
          <w:lang w:val="en-US" w:eastAsia="zh-CN"/>
        </w:rPr>
        <w:t>；</w:t>
      </w:r>
    </w:p>
    <w:p w14:paraId="00F71CB2">
      <w:pPr>
        <w:pStyle w:val="41"/>
        <w:numPr>
          <w:ilvl w:val="0"/>
          <w:numId w:val="61"/>
        </w:numPr>
        <w:tabs>
          <w:tab w:val="center" w:pos="4201"/>
          <w:tab w:val="right" w:leader="dot" w:pos="9298"/>
        </w:tabs>
        <w:ind w:left="726" w:leftChars="0" w:hanging="306" w:firstLineChars="0"/>
        <w:rPr>
          <w:rFonts w:hint="eastAsia" w:ascii="宋体" w:hAnsi="Times New Roman" w:eastAsia="宋体" w:cs="Times New Roman"/>
          <w:color w:val="auto"/>
          <w:lang w:val="en-US" w:eastAsia="zh-CN"/>
        </w:rPr>
      </w:pPr>
      <w:r>
        <w:rPr>
          <w:rFonts w:hint="eastAsia" w:ascii="宋体" w:hAnsi="Times New Roman" w:eastAsia="宋体" w:cs="Times New Roman"/>
          <w:color w:val="auto"/>
          <w:lang w:val="en-US" w:eastAsia="zh-CN"/>
        </w:rPr>
        <w:t>排水管网系统中含有多座泵站时，应具有针对水量、水质的联合调度功能；</w:t>
      </w:r>
    </w:p>
    <w:p w14:paraId="5E20D65A">
      <w:pPr>
        <w:pStyle w:val="41"/>
        <w:numPr>
          <w:ilvl w:val="0"/>
          <w:numId w:val="61"/>
        </w:numPr>
        <w:tabs>
          <w:tab w:val="center" w:pos="4201"/>
          <w:tab w:val="right" w:leader="dot" w:pos="9298"/>
        </w:tabs>
        <w:ind w:left="726" w:leftChars="0" w:hanging="306" w:firstLineChars="0"/>
        <w:rPr>
          <w:rFonts w:hint="eastAsia" w:ascii="宋体" w:hAnsi="Times New Roman" w:eastAsia="宋体" w:cs="Times New Roman"/>
          <w:color w:val="auto"/>
          <w:lang w:val="en-US" w:eastAsia="zh-CN"/>
        </w:rPr>
      </w:pPr>
      <w:r>
        <w:rPr>
          <w:rFonts w:hint="eastAsia" w:ascii="宋体" w:hAnsi="Times New Roman" w:eastAsia="宋体" w:cs="Times New Roman"/>
          <w:color w:val="auto"/>
          <w:lang w:val="en-US" w:eastAsia="zh-CN"/>
        </w:rPr>
        <w:t>泵站智能调控技术还应具有故障分析决策功能，在泵站事故、设备故障、异常报警等情况下，通过分析泵站运行数据等信息，实现故障类型识别和故障原因分析，并给出处理措施。</w:t>
      </w:r>
    </w:p>
    <w:p w14:paraId="6D16AB6B">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7.5.</w:t>
      </w:r>
      <w:r>
        <w:rPr>
          <w:rFonts w:hint="eastAsia" w:hAnsi="宋体" w:cs="宋体"/>
          <w:color w:val="auto"/>
          <w:lang w:val="en-US" w:eastAsia="zh-CN"/>
        </w:rPr>
        <w:t>4</w:t>
      </w:r>
      <w:r>
        <w:rPr>
          <w:rFonts w:hint="eastAsia" w:hAnsi="宋体" w:eastAsia="宋体" w:cs="宋体"/>
          <w:color w:val="auto"/>
          <w:lang w:val="en-US" w:eastAsia="zh-CN"/>
        </w:rPr>
        <w:t>智能分流井智能运行调控应符合以下规定：</w:t>
      </w:r>
    </w:p>
    <w:p w14:paraId="5C043D6E">
      <w:pPr>
        <w:pStyle w:val="41"/>
        <w:numPr>
          <w:ilvl w:val="0"/>
          <w:numId w:val="62"/>
        </w:numPr>
        <w:tabs>
          <w:tab w:val="center" w:pos="4201"/>
          <w:tab w:val="right" w:leader="dot" w:pos="9298"/>
        </w:tabs>
        <w:ind w:left="726" w:leftChars="0" w:hanging="306" w:firstLineChars="0"/>
        <w:rPr>
          <w:rFonts w:hint="eastAsia" w:ascii="宋体" w:hAnsi="Times New Roman" w:eastAsia="宋体" w:cs="Times New Roman"/>
          <w:color w:val="auto"/>
          <w:lang w:val="en-US" w:eastAsia="zh-CN"/>
        </w:rPr>
      </w:pPr>
      <w:r>
        <w:rPr>
          <w:rFonts w:hint="eastAsia" w:ascii="宋体" w:eastAsia="宋体" w:cs="Times New Roman"/>
          <w:color w:val="auto"/>
          <w:lang w:val="en-US" w:eastAsia="zh-CN"/>
        </w:rPr>
        <w:t>智能分流井</w:t>
      </w:r>
      <w:r>
        <w:rPr>
          <w:rFonts w:hint="eastAsia" w:ascii="宋体" w:hAnsi="Times New Roman" w:eastAsia="宋体" w:cs="Times New Roman"/>
          <w:color w:val="auto"/>
          <w:lang w:val="en-US" w:eastAsia="zh-CN"/>
        </w:rPr>
        <w:t>应能依据降雨量、井内液位、水质等数据，实现对初期雨水的智能截流；</w:t>
      </w:r>
    </w:p>
    <w:p w14:paraId="257029A5">
      <w:pPr>
        <w:pStyle w:val="41"/>
        <w:numPr>
          <w:ilvl w:val="0"/>
          <w:numId w:val="62"/>
        </w:numPr>
        <w:tabs>
          <w:tab w:val="center" w:pos="4201"/>
          <w:tab w:val="right" w:leader="dot" w:pos="9298"/>
        </w:tabs>
        <w:ind w:left="726" w:leftChars="0" w:hanging="306" w:firstLineChars="0"/>
        <w:rPr>
          <w:rFonts w:hint="eastAsia" w:ascii="宋体" w:hAnsi="Times New Roman" w:eastAsia="宋体" w:cs="Times New Roman"/>
          <w:color w:val="auto"/>
          <w:lang w:val="en-US" w:eastAsia="zh-CN"/>
        </w:rPr>
      </w:pPr>
      <w:r>
        <w:rPr>
          <w:rFonts w:hint="eastAsia" w:ascii="宋体" w:eastAsia="宋体" w:cs="Times New Roman"/>
          <w:color w:val="auto"/>
          <w:lang w:val="en-US" w:eastAsia="zh-CN"/>
        </w:rPr>
        <w:t>智能分流井</w:t>
      </w:r>
      <w:r>
        <w:rPr>
          <w:rFonts w:hint="eastAsia" w:ascii="宋体" w:hAnsi="Times New Roman" w:eastAsia="宋体" w:cs="Times New Roman"/>
          <w:color w:val="auto"/>
          <w:lang w:val="en-US" w:eastAsia="zh-CN"/>
        </w:rPr>
        <w:t>应具有在线监测分析的功能，可利用井内实时监控数据智能调整截流管的最佳截流量；</w:t>
      </w:r>
    </w:p>
    <w:p w14:paraId="52C517D5">
      <w:pPr>
        <w:pStyle w:val="41"/>
        <w:numPr>
          <w:ilvl w:val="0"/>
          <w:numId w:val="62"/>
        </w:numPr>
        <w:tabs>
          <w:tab w:val="center" w:pos="4201"/>
          <w:tab w:val="right" w:leader="dot" w:pos="9298"/>
        </w:tabs>
        <w:ind w:left="726" w:leftChars="0" w:hanging="306" w:firstLineChars="0"/>
        <w:rPr>
          <w:rFonts w:hint="eastAsia" w:ascii="宋体" w:hAnsi="Times New Roman" w:eastAsia="宋体" w:cs="Times New Roman"/>
          <w:color w:val="auto"/>
          <w:lang w:val="en-US" w:eastAsia="zh-CN"/>
        </w:rPr>
      </w:pPr>
      <w:r>
        <w:rPr>
          <w:rFonts w:hint="eastAsia" w:ascii="宋体" w:eastAsia="宋体" w:cs="Times New Roman"/>
          <w:color w:val="auto"/>
          <w:lang w:val="en-US" w:eastAsia="zh-CN"/>
        </w:rPr>
        <w:t>智能分流井</w:t>
      </w:r>
      <w:r>
        <w:rPr>
          <w:rFonts w:hint="eastAsia" w:ascii="宋体" w:hAnsi="Times New Roman" w:eastAsia="宋体" w:cs="Times New Roman"/>
          <w:color w:val="auto"/>
          <w:lang w:val="en-US" w:eastAsia="zh-CN"/>
        </w:rPr>
        <w:t>应具有紧急溢流功能，确保在发生意外时保证泄洪安全；</w:t>
      </w:r>
    </w:p>
    <w:p w14:paraId="33951C0A">
      <w:pPr>
        <w:pStyle w:val="41"/>
        <w:numPr>
          <w:ilvl w:val="0"/>
          <w:numId w:val="62"/>
        </w:numPr>
        <w:tabs>
          <w:tab w:val="center" w:pos="4201"/>
          <w:tab w:val="right" w:leader="dot" w:pos="9298"/>
        </w:tabs>
        <w:ind w:left="726" w:leftChars="0" w:hanging="306" w:firstLineChars="0"/>
        <w:rPr>
          <w:rFonts w:hint="eastAsia" w:hAnsi="宋体" w:eastAsia="宋体" w:cs="宋体"/>
          <w:color w:val="auto"/>
          <w:lang w:val="en-US" w:eastAsia="zh-CN"/>
        </w:rPr>
      </w:pPr>
      <w:r>
        <w:rPr>
          <w:rFonts w:hint="eastAsia" w:ascii="宋体" w:hAnsi="Times New Roman" w:eastAsia="宋体" w:cs="Times New Roman"/>
          <w:color w:val="auto"/>
          <w:lang w:val="en-US" w:eastAsia="zh-CN"/>
        </w:rPr>
        <w:t>排水管网系统中含有多座</w:t>
      </w:r>
      <w:r>
        <w:rPr>
          <w:rFonts w:hint="eastAsia" w:ascii="宋体" w:eastAsia="宋体" w:cs="Times New Roman"/>
          <w:color w:val="auto"/>
          <w:lang w:val="en-US" w:eastAsia="zh-CN"/>
        </w:rPr>
        <w:t>智能分流井</w:t>
      </w:r>
      <w:r>
        <w:rPr>
          <w:rFonts w:hint="eastAsia" w:ascii="宋体" w:hAnsi="Times New Roman" w:eastAsia="宋体" w:cs="Times New Roman"/>
          <w:color w:val="auto"/>
          <w:lang w:val="en-US" w:eastAsia="zh-CN"/>
        </w:rPr>
        <w:t>时，应具有针对水量、水质的联合调度功能</w:t>
      </w:r>
      <w:r>
        <w:rPr>
          <w:rFonts w:hint="eastAsia" w:cs="Times New Roman"/>
          <w:color w:val="auto"/>
          <w:lang w:val="en-US" w:eastAsia="zh-CN"/>
        </w:rPr>
        <w:t>。</w:t>
      </w:r>
    </w:p>
    <w:p w14:paraId="00EBADF9">
      <w:pPr>
        <w:pStyle w:val="114"/>
        <w:spacing w:before="312" w:after="312"/>
        <w:ind w:left="0"/>
        <w:jc w:val="left"/>
        <w:rPr>
          <w:rFonts w:hint="default" w:hAnsi="黑体" w:cs="黑体"/>
          <w:color w:val="auto"/>
          <w:szCs w:val="21"/>
          <w:lang w:val="en-US" w:eastAsia="zh-CN"/>
        </w:rPr>
      </w:pPr>
      <w:bookmarkStart w:id="135" w:name="_Toc12285"/>
      <w:r>
        <w:rPr>
          <w:rFonts w:hint="eastAsia" w:hAnsi="黑体" w:cs="黑体"/>
          <w:color w:val="auto"/>
          <w:szCs w:val="21"/>
          <w:lang w:val="en-US" w:eastAsia="zh-CN"/>
        </w:rPr>
        <w:t>智慧排水系统</w:t>
      </w:r>
      <w:bookmarkEnd w:id="135"/>
    </w:p>
    <w:p w14:paraId="236AA31C">
      <w:pPr>
        <w:pStyle w:val="40"/>
        <w:spacing w:before="156" w:after="156"/>
        <w:rPr>
          <w:color w:val="auto"/>
        </w:rPr>
      </w:pPr>
      <w:r>
        <w:rPr>
          <w:rFonts w:hint="eastAsia"/>
          <w:color w:val="auto"/>
          <w:lang w:val="en-US" w:eastAsia="zh-CN"/>
        </w:rPr>
        <w:t>8</w:t>
      </w:r>
      <w:r>
        <w:rPr>
          <w:rFonts w:hint="eastAsia"/>
          <w:color w:val="auto"/>
        </w:rPr>
        <w:t>.1 一般规定</w:t>
      </w:r>
    </w:p>
    <w:p w14:paraId="67D4CED1">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8.1.1 智慧排水系统建设应以实现高效、智能、可持续的城市排水管理为主要目标。</w:t>
      </w:r>
    </w:p>
    <w:p w14:paraId="3E4E40BD">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8.1.2 智慧排水系统建设应基于城市排水大数据平台，充分整合城市排水现有信息资源，综合运用GIS、在线监测、云计算、物联网、大数据、移动互联、人工智能、自动化控制、数字模型等先进技术手段，实现可维护、可运行、可扩展。</w:t>
      </w:r>
    </w:p>
    <w:p w14:paraId="7BBDF066">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8.1.3 智慧排水系统</w:t>
      </w:r>
      <w:r>
        <w:rPr>
          <w:rFonts w:hint="eastAsia" w:hAnsi="宋体" w:cs="宋体"/>
          <w:color w:val="auto"/>
          <w:lang w:val="en-US" w:eastAsia="zh-CN"/>
        </w:rPr>
        <w:t>应能实现</w:t>
      </w:r>
      <w:r>
        <w:rPr>
          <w:rFonts w:hint="eastAsia" w:hAnsi="宋体" w:eastAsia="宋体" w:cs="宋体"/>
          <w:color w:val="auto"/>
          <w:lang w:val="en-US" w:eastAsia="zh-CN"/>
        </w:rPr>
        <w:t>与城市运行管理服务平台、城市生命线安全监管平台等其他智慧城市建设系统互联互通。</w:t>
      </w:r>
    </w:p>
    <w:p w14:paraId="33A25A8E">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8.1.</w:t>
      </w:r>
      <w:r>
        <w:rPr>
          <w:rFonts w:hint="eastAsia" w:hAnsi="宋体" w:cs="宋体"/>
          <w:color w:val="auto"/>
          <w:lang w:val="en-US" w:eastAsia="zh-CN"/>
        </w:rPr>
        <w:t>4</w:t>
      </w:r>
      <w:r>
        <w:rPr>
          <w:rFonts w:hint="eastAsia" w:hAnsi="宋体" w:eastAsia="宋体" w:cs="宋体"/>
          <w:color w:val="auto"/>
          <w:lang w:val="en-US" w:eastAsia="zh-CN"/>
        </w:rPr>
        <w:t xml:space="preserve"> 智慧排水系统</w:t>
      </w:r>
      <w:r>
        <w:rPr>
          <w:rFonts w:hint="eastAsia" w:hAnsi="宋体" w:cs="宋体"/>
          <w:color w:val="auto"/>
          <w:lang w:val="en-US" w:eastAsia="zh-CN"/>
        </w:rPr>
        <w:t>宜根据实际条件采用基于云服务或本地化部署。</w:t>
      </w:r>
    </w:p>
    <w:p w14:paraId="78153F2A">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8.</w:t>
      </w:r>
      <w:r>
        <w:rPr>
          <w:rFonts w:hint="eastAsia" w:hAnsi="宋体" w:cs="宋体"/>
          <w:color w:val="auto"/>
          <w:lang w:val="en-US" w:eastAsia="zh-CN"/>
        </w:rPr>
        <w:t>1</w:t>
      </w:r>
      <w:r>
        <w:rPr>
          <w:rFonts w:hint="eastAsia" w:hAnsi="宋体" w:eastAsia="宋体" w:cs="宋体"/>
          <w:color w:val="auto"/>
          <w:lang w:val="en-US" w:eastAsia="zh-CN"/>
        </w:rPr>
        <w:t>.</w:t>
      </w:r>
      <w:r>
        <w:rPr>
          <w:rFonts w:hint="eastAsia" w:hAnsi="宋体" w:cs="宋体"/>
          <w:color w:val="auto"/>
          <w:lang w:val="en-US" w:eastAsia="zh-CN"/>
        </w:rPr>
        <w:t>5</w:t>
      </w:r>
      <w:r>
        <w:rPr>
          <w:rFonts w:hint="eastAsia" w:hAnsi="宋体" w:eastAsia="宋体" w:cs="宋体"/>
          <w:color w:val="auto"/>
          <w:lang w:val="en-US" w:eastAsia="zh-CN"/>
        </w:rPr>
        <w:t xml:space="preserve"> 智慧排水业务应用应满足对排水系统运维管理“一屏展示、一网统管”的要求，各项业务应用产生的数据运行在一个网络上，实现一张图、一个屏能便捷浏览各项数据。</w:t>
      </w:r>
    </w:p>
    <w:p w14:paraId="5BA59C5E">
      <w:pPr>
        <w:pStyle w:val="40"/>
        <w:spacing w:before="156" w:after="156"/>
        <w:rPr>
          <w:rFonts w:hint="default"/>
          <w:color w:val="auto"/>
          <w:lang w:val="en-US"/>
        </w:rPr>
      </w:pPr>
      <w:r>
        <w:rPr>
          <w:rFonts w:hint="eastAsia"/>
          <w:color w:val="auto"/>
          <w:lang w:val="en-US" w:eastAsia="zh-CN"/>
        </w:rPr>
        <w:t>8</w:t>
      </w:r>
      <w:r>
        <w:rPr>
          <w:rFonts w:hint="eastAsia"/>
          <w:color w:val="auto"/>
        </w:rPr>
        <w:t>.</w:t>
      </w:r>
      <w:r>
        <w:rPr>
          <w:rFonts w:hint="eastAsia"/>
          <w:color w:val="auto"/>
          <w:lang w:val="en-US" w:eastAsia="zh-CN"/>
        </w:rPr>
        <w:t>2</w:t>
      </w:r>
      <w:r>
        <w:rPr>
          <w:rFonts w:hint="eastAsia"/>
          <w:color w:val="auto"/>
        </w:rPr>
        <w:t xml:space="preserve"> </w:t>
      </w:r>
      <w:r>
        <w:rPr>
          <w:rFonts w:hint="eastAsia"/>
          <w:color w:val="auto"/>
          <w:lang w:val="en-US" w:eastAsia="zh-CN"/>
        </w:rPr>
        <w:t>管网GIS系统</w:t>
      </w:r>
    </w:p>
    <w:p w14:paraId="10F82C3D">
      <w:pPr>
        <w:pStyle w:val="41"/>
        <w:ind w:left="0" w:leftChars="0" w:firstLine="0" w:firstLineChars="0"/>
        <w:rPr>
          <w:rFonts w:hint="eastAsia" w:hAnsi="宋体" w:cs="宋体"/>
          <w:color w:val="auto"/>
          <w:lang w:val="en-US" w:eastAsia="zh-CN"/>
        </w:rPr>
      </w:pPr>
      <w:r>
        <w:rPr>
          <w:rFonts w:hint="eastAsia" w:hAnsi="宋体" w:eastAsia="宋体" w:cs="宋体"/>
          <w:color w:val="auto"/>
          <w:lang w:val="en-US" w:eastAsia="zh-CN"/>
        </w:rPr>
        <w:t>8.</w:t>
      </w:r>
      <w:r>
        <w:rPr>
          <w:rFonts w:hint="eastAsia" w:hAnsi="宋体" w:cs="宋体"/>
          <w:color w:val="auto"/>
          <w:lang w:val="en-US" w:eastAsia="zh-CN"/>
        </w:rPr>
        <w:t>2</w:t>
      </w:r>
      <w:r>
        <w:rPr>
          <w:rFonts w:hint="eastAsia" w:hAnsi="宋体" w:eastAsia="宋体" w:cs="宋体"/>
          <w:color w:val="auto"/>
          <w:lang w:val="en-US" w:eastAsia="zh-CN"/>
        </w:rPr>
        <w:t>.1</w:t>
      </w:r>
      <w:r>
        <w:rPr>
          <w:rFonts w:hint="eastAsia" w:hAnsi="宋体" w:cs="宋体"/>
          <w:color w:val="auto"/>
          <w:lang w:val="en-US" w:eastAsia="zh-CN"/>
        </w:rPr>
        <w:t xml:space="preserve"> </w:t>
      </w:r>
      <w:r>
        <w:rPr>
          <w:rFonts w:hint="eastAsia" w:hAnsi="宋体" w:eastAsia="宋体" w:cs="宋体"/>
          <w:color w:val="auto"/>
          <w:lang w:val="en-US" w:eastAsia="zh-CN"/>
        </w:rPr>
        <w:t>排水管网GIS</w:t>
      </w:r>
      <w:r>
        <w:rPr>
          <w:rFonts w:hint="eastAsia" w:hAnsi="宋体" w:cs="宋体"/>
          <w:color w:val="auto"/>
          <w:lang w:val="en-US" w:eastAsia="zh-CN"/>
        </w:rPr>
        <w:t>系统</w:t>
      </w:r>
      <w:r>
        <w:rPr>
          <w:rFonts w:hint="eastAsia" w:hAnsi="宋体" w:eastAsia="宋体" w:cs="宋体"/>
          <w:color w:val="auto"/>
          <w:lang w:val="en-US" w:eastAsia="zh-CN"/>
        </w:rPr>
        <w:t>旨在汇聚、展示与管理项目流域内排水系统、内涝防治、水环境等相关的基础数据，为排水系统业务应用提供基础数据支撑</w:t>
      </w:r>
      <w:r>
        <w:rPr>
          <w:rFonts w:hint="eastAsia" w:hAnsi="宋体" w:cs="宋体"/>
          <w:color w:val="auto"/>
          <w:lang w:val="en-US" w:eastAsia="zh-CN"/>
        </w:rPr>
        <w:t>。</w:t>
      </w:r>
    </w:p>
    <w:p w14:paraId="4FEE3708">
      <w:pPr>
        <w:pStyle w:val="41"/>
        <w:ind w:left="0" w:leftChars="0" w:firstLine="0" w:firstLineChars="0"/>
        <w:rPr>
          <w:rFonts w:hint="eastAsia" w:hAnsi="宋体" w:cs="宋体"/>
          <w:color w:val="auto"/>
          <w:lang w:val="en-US" w:eastAsia="zh-CN"/>
        </w:rPr>
      </w:pPr>
      <w:r>
        <w:rPr>
          <w:rFonts w:hint="eastAsia" w:hAnsi="宋体" w:cs="宋体"/>
          <w:color w:val="auto"/>
          <w:lang w:val="en-US" w:eastAsia="zh-CN"/>
        </w:rPr>
        <w:t xml:space="preserve">8.2.2 </w:t>
      </w:r>
      <w:r>
        <w:rPr>
          <w:rFonts w:hint="eastAsia" w:hAnsi="宋体" w:eastAsia="宋体" w:cs="宋体"/>
          <w:color w:val="auto"/>
          <w:lang w:val="en-US" w:eastAsia="zh-CN"/>
        </w:rPr>
        <w:t>排水管网GIS</w:t>
      </w:r>
      <w:r>
        <w:rPr>
          <w:rFonts w:hint="eastAsia" w:hAnsi="宋体" w:cs="宋体"/>
          <w:color w:val="auto"/>
          <w:lang w:val="en-US" w:eastAsia="zh-CN"/>
        </w:rPr>
        <w:t>系统</w:t>
      </w:r>
      <w:r>
        <w:rPr>
          <w:rFonts w:hint="eastAsia" w:hAnsi="宋体" w:eastAsia="宋体" w:cs="宋体"/>
          <w:color w:val="auto"/>
          <w:lang w:val="en-US" w:eastAsia="zh-CN"/>
        </w:rPr>
        <w:t>应支持</w:t>
      </w:r>
      <w:r>
        <w:rPr>
          <w:rFonts w:hint="eastAsia" w:hAnsi="宋体" w:cs="宋体"/>
          <w:color w:val="auto"/>
          <w:lang w:val="en-US" w:eastAsia="zh-CN"/>
        </w:rPr>
        <w:t>的各类设施，包括</w:t>
      </w:r>
      <w:r>
        <w:rPr>
          <w:rFonts w:hint="eastAsia" w:hAnsi="宋体" w:eastAsia="宋体" w:cs="宋体"/>
          <w:color w:val="auto"/>
          <w:lang w:val="en-US" w:eastAsia="zh-CN"/>
        </w:rPr>
        <w:t>不限于管线、</w:t>
      </w:r>
      <w:r>
        <w:rPr>
          <w:rFonts w:hint="eastAsia" w:hAnsi="宋体" w:cs="宋体"/>
          <w:color w:val="auto"/>
          <w:lang w:val="en-US" w:eastAsia="zh-CN"/>
        </w:rPr>
        <w:t>泵</w:t>
      </w:r>
      <w:r>
        <w:rPr>
          <w:rFonts w:hint="eastAsia" w:hAnsi="宋体" w:eastAsia="宋体" w:cs="宋体"/>
          <w:color w:val="auto"/>
          <w:lang w:val="en-US" w:eastAsia="zh-CN"/>
        </w:rPr>
        <w:t>站、</w:t>
      </w:r>
      <w:r>
        <w:rPr>
          <w:rFonts w:hint="eastAsia" w:hAnsi="宋体" w:cs="宋体"/>
          <w:color w:val="auto"/>
          <w:lang w:val="en-US" w:eastAsia="zh-CN"/>
        </w:rPr>
        <w:t>闸站、截流设施、</w:t>
      </w:r>
      <w:r>
        <w:rPr>
          <w:rFonts w:hint="eastAsia" w:hAnsi="宋体" w:eastAsia="宋体" w:cs="宋体"/>
          <w:color w:val="auto"/>
          <w:lang w:val="en-US" w:eastAsia="zh-CN"/>
        </w:rPr>
        <w:t>污水处理厂、检查井、排水口、雨水口、井盖等排水基础设施</w:t>
      </w:r>
      <w:r>
        <w:rPr>
          <w:rFonts w:hint="eastAsia" w:hAnsi="宋体" w:cs="宋体"/>
          <w:color w:val="auto"/>
          <w:lang w:val="en-US" w:eastAsia="zh-CN"/>
        </w:rPr>
        <w:t>，以</w:t>
      </w:r>
      <w:r>
        <w:rPr>
          <w:rFonts w:hint="eastAsia" w:ascii="宋体" w:hAnsi="宋体" w:eastAsia="宋体" w:cs="宋体"/>
          <w:color w:val="auto"/>
          <w:sz w:val="21"/>
          <w:szCs w:val="20"/>
        </w:rPr>
        <w:t>实现对排水管网全方位的管理和监控</w:t>
      </w:r>
      <w:r>
        <w:rPr>
          <w:rFonts w:hint="eastAsia" w:hAnsi="宋体" w:cs="宋体"/>
          <w:color w:val="auto"/>
          <w:lang w:val="en-US" w:eastAsia="zh-CN"/>
        </w:rPr>
        <w:t>。</w:t>
      </w:r>
    </w:p>
    <w:p w14:paraId="55E0145C">
      <w:pPr>
        <w:pStyle w:val="41"/>
        <w:ind w:left="0" w:leftChars="0" w:firstLine="0" w:firstLineChars="0"/>
        <w:rPr>
          <w:rFonts w:hint="eastAsia" w:hAnsi="宋体" w:cs="宋体"/>
          <w:color w:val="auto"/>
          <w:lang w:val="en-US" w:eastAsia="zh-CN"/>
        </w:rPr>
      </w:pPr>
      <w:r>
        <w:rPr>
          <w:rFonts w:hint="eastAsia" w:hAnsi="宋体" w:cs="宋体"/>
          <w:color w:val="auto"/>
          <w:lang w:val="en-US" w:eastAsia="zh-CN"/>
        </w:rPr>
        <w:t>8.2.3 排水管网空间信息管理系统应支持但不限于以下功能:</w:t>
      </w:r>
    </w:p>
    <w:p w14:paraId="76A66BB3">
      <w:pPr>
        <w:pStyle w:val="41"/>
        <w:numPr>
          <w:ilvl w:val="0"/>
          <w:numId w:val="63"/>
        </w:numPr>
        <w:tabs>
          <w:tab w:val="center" w:pos="4201"/>
          <w:tab w:val="right" w:leader="dot" w:pos="9298"/>
        </w:tabs>
        <w:ind w:left="726" w:leftChars="0" w:hanging="306" w:firstLineChars="0"/>
        <w:rPr>
          <w:rFonts w:hint="eastAsia" w:ascii="宋体" w:eastAsia="宋体" w:cs="Times New Roman"/>
          <w:color w:val="auto"/>
          <w:lang w:val="en-US" w:eastAsia="zh-CN"/>
        </w:rPr>
      </w:pPr>
      <w:r>
        <w:rPr>
          <w:rFonts w:hint="eastAsia" w:ascii="宋体" w:eastAsia="宋体" w:cs="Times New Roman"/>
          <w:color w:val="auto"/>
          <w:lang w:val="en-US" w:eastAsia="zh-CN"/>
        </w:rPr>
        <w:t>实现对排水设施的基础地理、排水管网管线、智能设施统一的数据管理和访问</w:t>
      </w:r>
      <w:r>
        <w:rPr>
          <w:rFonts w:hint="eastAsia" w:cs="Times New Roman"/>
          <w:color w:val="auto"/>
          <w:lang w:val="en-US" w:eastAsia="zh-CN"/>
        </w:rPr>
        <w:t>；</w:t>
      </w:r>
    </w:p>
    <w:p w14:paraId="2A009351">
      <w:pPr>
        <w:pStyle w:val="41"/>
        <w:numPr>
          <w:ilvl w:val="0"/>
          <w:numId w:val="63"/>
        </w:numPr>
        <w:tabs>
          <w:tab w:val="center" w:pos="4201"/>
          <w:tab w:val="right" w:leader="dot" w:pos="9298"/>
        </w:tabs>
        <w:ind w:left="726" w:leftChars="0" w:hanging="306" w:firstLineChars="0"/>
        <w:rPr>
          <w:rFonts w:hint="eastAsia" w:ascii="宋体" w:eastAsia="宋体" w:cs="Times New Roman"/>
          <w:color w:val="auto"/>
          <w:lang w:val="en-US" w:eastAsia="zh-CN"/>
        </w:rPr>
      </w:pPr>
      <w:r>
        <w:rPr>
          <w:rFonts w:hint="eastAsia" w:ascii="宋体" w:eastAsia="宋体" w:cs="Times New Roman"/>
          <w:color w:val="auto"/>
          <w:lang w:val="en-US" w:eastAsia="zh-CN"/>
        </w:rPr>
        <w:t>实现排水管网一张图，提供二维、三维地图操作以及查询定位等功能；</w:t>
      </w:r>
    </w:p>
    <w:p w14:paraId="5E185473">
      <w:pPr>
        <w:pStyle w:val="41"/>
        <w:numPr>
          <w:ilvl w:val="0"/>
          <w:numId w:val="63"/>
        </w:numPr>
        <w:tabs>
          <w:tab w:val="center" w:pos="4201"/>
          <w:tab w:val="right" w:leader="dot" w:pos="9298"/>
        </w:tabs>
        <w:ind w:left="726" w:leftChars="0" w:hanging="306" w:firstLineChars="0"/>
        <w:rPr>
          <w:rFonts w:hint="eastAsia" w:ascii="宋体" w:eastAsia="宋体" w:cs="Times New Roman"/>
          <w:color w:val="auto"/>
          <w:lang w:val="en-US" w:eastAsia="zh-CN"/>
        </w:rPr>
      </w:pPr>
      <w:r>
        <w:rPr>
          <w:rFonts w:hint="eastAsia" w:ascii="宋体" w:eastAsia="宋体" w:cs="Times New Roman"/>
          <w:color w:val="auto"/>
          <w:lang w:val="en-US" w:eastAsia="zh-CN"/>
        </w:rPr>
        <w:t>支持对排水管网测绘数据的导入，对现有及未来排水管网数据拓扑关系的应用和维护。</w:t>
      </w:r>
    </w:p>
    <w:p w14:paraId="66ABD18E">
      <w:pPr>
        <w:pStyle w:val="41"/>
        <w:numPr>
          <w:ilvl w:val="0"/>
          <w:numId w:val="63"/>
        </w:numPr>
        <w:tabs>
          <w:tab w:val="center" w:pos="4201"/>
          <w:tab w:val="right" w:leader="dot" w:pos="9298"/>
        </w:tabs>
        <w:ind w:left="726" w:leftChars="0" w:hanging="306" w:firstLineChars="0"/>
        <w:rPr>
          <w:rFonts w:hint="eastAsia" w:ascii="宋体" w:eastAsia="宋体" w:cs="Times New Roman"/>
          <w:color w:val="auto"/>
          <w:lang w:val="en-US" w:eastAsia="zh-CN"/>
        </w:rPr>
      </w:pPr>
      <w:r>
        <w:rPr>
          <w:rFonts w:hint="eastAsia" w:ascii="宋体" w:eastAsia="宋体" w:cs="Times New Roman"/>
          <w:color w:val="auto"/>
          <w:lang w:val="en-US" w:eastAsia="zh-CN"/>
        </w:rPr>
        <w:t>支持现有排水管网资产信息的多维显示、查询和分析。</w:t>
      </w:r>
    </w:p>
    <w:p w14:paraId="78919F61">
      <w:pPr>
        <w:pStyle w:val="41"/>
        <w:numPr>
          <w:ilvl w:val="0"/>
          <w:numId w:val="63"/>
        </w:numPr>
        <w:tabs>
          <w:tab w:val="center" w:pos="4201"/>
          <w:tab w:val="right" w:leader="dot" w:pos="9298"/>
        </w:tabs>
        <w:ind w:left="726" w:leftChars="0" w:hanging="306" w:firstLineChars="0"/>
        <w:rPr>
          <w:rFonts w:hint="eastAsia" w:hAnsi="宋体" w:eastAsia="宋体" w:cs="宋体"/>
          <w:color w:val="auto"/>
          <w:lang w:val="en-US" w:eastAsia="zh-CN"/>
        </w:rPr>
      </w:pPr>
      <w:r>
        <w:rPr>
          <w:rFonts w:hint="eastAsia" w:ascii="宋体" w:eastAsia="宋体" w:cs="Times New Roman"/>
          <w:color w:val="auto"/>
          <w:lang w:val="en-US" w:eastAsia="zh-CN"/>
        </w:rPr>
        <w:t>能快速、方便地从系统中导入导出排水管网数据，实现与外部相关部门之间的在线信息共享。</w:t>
      </w:r>
    </w:p>
    <w:p w14:paraId="4BF2C064">
      <w:pPr>
        <w:pStyle w:val="41"/>
        <w:ind w:left="0" w:leftChars="0" w:firstLine="0" w:firstLineChars="0"/>
        <w:rPr>
          <w:rFonts w:hint="eastAsia" w:hAnsi="宋体" w:cs="宋体"/>
          <w:color w:val="auto"/>
          <w:lang w:val="en-US" w:eastAsia="zh-CN"/>
        </w:rPr>
      </w:pPr>
      <w:r>
        <w:rPr>
          <w:rFonts w:hint="eastAsia" w:hAnsi="宋体" w:cs="宋体"/>
          <w:color w:val="auto"/>
          <w:lang w:val="en-US" w:eastAsia="zh-CN"/>
        </w:rPr>
        <w:t>8.2.4 排水管网GIS系统应保障排水管网设施的更新机制，对于错误的管线信息，应及时进行更正，更正流程按照“发现管线问题并上报一核查确认一入库更新”进行。</w:t>
      </w:r>
    </w:p>
    <w:p w14:paraId="45393DD0">
      <w:pPr>
        <w:pStyle w:val="41"/>
        <w:ind w:left="0" w:leftChars="0" w:firstLine="0" w:firstLineChars="0"/>
        <w:rPr>
          <w:rFonts w:hint="eastAsia" w:hAnsi="宋体" w:cs="宋体"/>
          <w:color w:val="auto"/>
          <w:lang w:val="en-US" w:eastAsia="zh-CN"/>
        </w:rPr>
      </w:pPr>
      <w:r>
        <w:rPr>
          <w:rFonts w:hint="eastAsia" w:hAnsi="宋体" w:cs="宋体"/>
          <w:color w:val="auto"/>
          <w:lang w:val="en-US" w:eastAsia="zh-CN"/>
        </w:rPr>
        <w:t>8.2.5 排水管网GIS系统应实现对城镇的重点工业排污企业、重点排水户、一般排水户三类排水户的分类管理。</w:t>
      </w:r>
    </w:p>
    <w:p w14:paraId="701608E8">
      <w:pPr>
        <w:pStyle w:val="41"/>
        <w:ind w:left="0" w:leftChars="0" w:firstLine="0" w:firstLineChars="0"/>
        <w:rPr>
          <w:rFonts w:hint="eastAsia" w:hAnsi="宋体" w:cs="宋体"/>
          <w:color w:val="auto"/>
          <w:lang w:val="en-US" w:eastAsia="zh-CN"/>
        </w:rPr>
      </w:pPr>
      <w:r>
        <w:rPr>
          <w:rFonts w:hint="eastAsia" w:hAnsi="宋体" w:cs="宋体"/>
          <w:color w:val="auto"/>
          <w:lang w:val="en-US" w:eastAsia="zh-CN"/>
        </w:rPr>
        <w:t>8.2.6 排水管网GIS系统应对排水户的排水状况进行实时监督，支持违章告知单自动下发，实现“发现问题一整改一复查确认”的全过程管理。</w:t>
      </w:r>
    </w:p>
    <w:p w14:paraId="4B738556">
      <w:pPr>
        <w:pStyle w:val="40"/>
        <w:spacing w:before="156" w:after="156"/>
        <w:rPr>
          <w:rFonts w:hint="eastAsia" w:hAnsi="宋体" w:eastAsia="宋体" w:cs="宋体"/>
          <w:color w:val="auto"/>
          <w:lang w:val="en-US" w:eastAsia="zh-CN"/>
        </w:rPr>
      </w:pPr>
      <w:r>
        <w:rPr>
          <w:rFonts w:hint="eastAsia"/>
          <w:color w:val="auto"/>
          <w:lang w:val="en-US" w:eastAsia="zh-CN"/>
        </w:rPr>
        <w:t>8.3 排水资产管理系统</w:t>
      </w:r>
    </w:p>
    <w:p w14:paraId="10B78687">
      <w:pPr>
        <w:pStyle w:val="41"/>
        <w:ind w:left="0" w:leftChars="0" w:firstLine="0" w:firstLineChars="0"/>
        <w:rPr>
          <w:rFonts w:hint="eastAsia" w:hAnsi="宋体" w:cs="宋体"/>
          <w:color w:val="auto"/>
          <w:lang w:val="en-US" w:eastAsia="zh-CN"/>
        </w:rPr>
      </w:pPr>
      <w:r>
        <w:rPr>
          <w:rFonts w:hint="eastAsia" w:hAnsi="宋体" w:cs="宋体"/>
          <w:color w:val="auto"/>
          <w:lang w:val="en-US" w:eastAsia="zh-CN"/>
        </w:rPr>
        <w:t>8.3.1 排水设施资产管理系统是对排水管网所涉及的排水设施、智能设备和动态监测设备等资产的实物形态价值评估、利用情况、产权的管理系统，是排水管网资产高效利用、保值增值重要工具。</w:t>
      </w:r>
    </w:p>
    <w:p w14:paraId="201FF3B4">
      <w:pPr>
        <w:pStyle w:val="41"/>
        <w:ind w:left="0" w:leftChars="0" w:firstLine="0" w:firstLineChars="0"/>
        <w:rPr>
          <w:rFonts w:hint="eastAsia" w:hAnsi="宋体" w:cs="宋体"/>
          <w:color w:val="auto"/>
          <w:lang w:val="en-US" w:eastAsia="zh-CN"/>
        </w:rPr>
      </w:pPr>
      <w:r>
        <w:rPr>
          <w:rFonts w:hint="eastAsia" w:hAnsi="宋体" w:cs="宋体"/>
          <w:color w:val="auto"/>
          <w:lang w:val="en-US" w:eastAsia="zh-CN"/>
        </w:rPr>
        <w:t>8.3.2 排水设施资产管理系统应能动态更新资产信息。</w:t>
      </w:r>
    </w:p>
    <w:p w14:paraId="1483E55F">
      <w:pPr>
        <w:pStyle w:val="41"/>
        <w:ind w:left="0" w:leftChars="0" w:firstLine="0" w:firstLineChars="0"/>
        <w:rPr>
          <w:rFonts w:hint="eastAsia" w:hAnsi="宋体" w:cs="宋体"/>
          <w:color w:val="auto"/>
          <w:lang w:val="en-US" w:eastAsia="zh-CN"/>
        </w:rPr>
      </w:pPr>
      <w:r>
        <w:rPr>
          <w:rFonts w:hint="eastAsia" w:hAnsi="宋体" w:cs="宋体"/>
          <w:color w:val="auto"/>
          <w:lang w:val="en-US" w:eastAsia="zh-CN"/>
        </w:rPr>
        <w:t>8.3.3 排水设施资产管理系统可采用CIM 技术实现资产三维可视化管理。</w:t>
      </w:r>
    </w:p>
    <w:p w14:paraId="6200B8AD">
      <w:pPr>
        <w:pStyle w:val="41"/>
        <w:ind w:left="0" w:leftChars="0" w:firstLine="0" w:firstLineChars="0"/>
        <w:rPr>
          <w:rFonts w:hint="eastAsia" w:hAnsi="宋体" w:cs="宋体"/>
          <w:color w:val="auto"/>
          <w:lang w:val="en-US" w:eastAsia="zh-CN"/>
        </w:rPr>
      </w:pPr>
      <w:r>
        <w:rPr>
          <w:rFonts w:hint="eastAsia" w:hAnsi="宋体" w:cs="宋体"/>
          <w:color w:val="auto"/>
          <w:lang w:val="en-US" w:eastAsia="zh-CN"/>
        </w:rPr>
        <w:t>8.3.4 排水设施资产管理系统应能结合管网检测成果实现管线设施视频信息的空间定位、播放、健康报告查询等。</w:t>
      </w:r>
    </w:p>
    <w:p w14:paraId="28403BC0">
      <w:pPr>
        <w:pStyle w:val="40"/>
        <w:spacing w:before="156" w:after="156"/>
        <w:rPr>
          <w:rFonts w:hint="eastAsia" w:hAnsi="宋体" w:cs="宋体"/>
          <w:color w:val="auto"/>
          <w:lang w:val="en-US" w:eastAsia="zh-CN"/>
        </w:rPr>
      </w:pPr>
      <w:r>
        <w:rPr>
          <w:rFonts w:hint="eastAsia"/>
          <w:color w:val="auto"/>
          <w:lang w:val="en-US" w:eastAsia="zh-CN"/>
        </w:rPr>
        <w:t>8.4 设施集中监控系统</w:t>
      </w:r>
    </w:p>
    <w:p w14:paraId="645291E9">
      <w:pPr>
        <w:pStyle w:val="41"/>
        <w:ind w:left="0" w:leftChars="0" w:firstLine="0" w:firstLineChars="0"/>
        <w:rPr>
          <w:rFonts w:hint="eastAsia" w:hAnsi="宋体" w:cs="宋体"/>
          <w:color w:val="auto"/>
          <w:lang w:val="en-US" w:eastAsia="zh-CN"/>
        </w:rPr>
      </w:pPr>
      <w:r>
        <w:rPr>
          <w:rFonts w:hint="eastAsia" w:hAnsi="宋体" w:eastAsia="宋体" w:cs="宋体"/>
          <w:color w:val="auto"/>
          <w:lang w:val="en-US" w:eastAsia="zh-CN"/>
        </w:rPr>
        <w:t>8.4.</w:t>
      </w:r>
      <w:r>
        <w:rPr>
          <w:rFonts w:hint="eastAsia" w:hAnsi="宋体" w:cs="宋体"/>
          <w:color w:val="auto"/>
          <w:lang w:val="en-US" w:eastAsia="zh-CN"/>
        </w:rPr>
        <w:t>1</w:t>
      </w:r>
      <w:r>
        <w:rPr>
          <w:rFonts w:hint="eastAsia" w:hAnsi="宋体" w:eastAsia="宋体" w:cs="宋体"/>
          <w:color w:val="auto"/>
          <w:lang w:val="en-US" w:eastAsia="zh-CN"/>
        </w:rPr>
        <w:t xml:space="preserve"> 设施集中监控系统</w:t>
      </w:r>
      <w:r>
        <w:rPr>
          <w:rFonts w:hint="eastAsia" w:hAnsi="宋体" w:cs="宋体"/>
          <w:color w:val="auto"/>
          <w:lang w:val="en-US" w:eastAsia="zh-CN"/>
        </w:rPr>
        <w:t>应能</w:t>
      </w:r>
      <w:r>
        <w:rPr>
          <w:rFonts w:hint="eastAsia" w:hAnsi="宋体" w:eastAsia="宋体" w:cs="宋体"/>
          <w:color w:val="auto"/>
          <w:lang w:val="en-US" w:eastAsia="zh-CN"/>
        </w:rPr>
        <w:t>支持各类排水设施监测信息、运行状态信息和处理信息的集成管理和展示</w:t>
      </w:r>
      <w:r>
        <w:rPr>
          <w:rFonts w:hint="eastAsia" w:hAnsi="宋体" w:cs="宋体"/>
          <w:color w:val="auto"/>
          <w:lang w:val="en-US" w:eastAsia="zh-CN"/>
        </w:rPr>
        <w:t>。</w:t>
      </w:r>
    </w:p>
    <w:p w14:paraId="5BB7D4D8">
      <w:pPr>
        <w:pStyle w:val="41"/>
        <w:ind w:left="0" w:leftChars="0" w:firstLine="0" w:firstLineChars="0"/>
        <w:rPr>
          <w:rFonts w:hint="eastAsia"/>
          <w:color w:val="auto"/>
          <w:lang w:eastAsia="zh-CN"/>
        </w:rPr>
      </w:pPr>
      <w:r>
        <w:rPr>
          <w:rFonts w:hint="eastAsia" w:hAnsi="宋体" w:cs="宋体"/>
          <w:color w:val="auto"/>
          <w:lang w:val="en-US" w:eastAsia="zh-CN"/>
        </w:rPr>
        <w:t xml:space="preserve">8.4.2 </w:t>
      </w:r>
      <w:r>
        <w:rPr>
          <w:rFonts w:hint="eastAsia" w:hAnsi="宋体" w:eastAsia="宋体" w:cs="宋体"/>
          <w:color w:val="auto"/>
          <w:lang w:val="en-US" w:eastAsia="zh-CN"/>
        </w:rPr>
        <w:t>设施集中监控系统</w:t>
      </w:r>
      <w:r>
        <w:rPr>
          <w:rFonts w:hint="eastAsia" w:eastAsia="宋体"/>
          <w:color w:val="auto"/>
          <w:lang w:val="en-US" w:eastAsia="zh-CN"/>
        </w:rPr>
        <w:t>应能实现</w:t>
      </w:r>
      <w:r>
        <w:rPr>
          <w:rFonts w:hint="eastAsia" w:hAnsi="宋体" w:eastAsia="宋体" w:cs="宋体"/>
          <w:color w:val="auto"/>
          <w:lang w:val="en-US" w:eastAsia="zh-CN"/>
        </w:rPr>
        <w:t>工艺组</w:t>
      </w:r>
      <w:r>
        <w:rPr>
          <w:rFonts w:hint="eastAsia" w:hAnsi="宋体" w:cs="宋体"/>
          <w:color w:val="auto"/>
          <w:lang w:val="en-US" w:eastAsia="zh-CN"/>
        </w:rPr>
        <w:t>态实时监控，</w:t>
      </w:r>
      <w:r>
        <w:rPr>
          <w:color w:val="auto"/>
        </w:rPr>
        <w:t>工艺运行通过</w:t>
      </w:r>
      <w:r>
        <w:rPr>
          <w:rFonts w:hint="eastAsia"/>
          <w:color w:val="auto"/>
        </w:rPr>
        <w:t>接入实时数据，在组态界面展示</w:t>
      </w:r>
      <w:r>
        <w:rPr>
          <w:color w:val="auto"/>
        </w:rPr>
        <w:t>实际生产工艺的运行过程</w:t>
      </w:r>
      <w:r>
        <w:rPr>
          <w:rFonts w:hint="eastAsia"/>
          <w:color w:val="auto"/>
        </w:rPr>
        <w:t>，</w:t>
      </w:r>
      <w:r>
        <w:rPr>
          <w:color w:val="auto"/>
        </w:rPr>
        <w:t>提高生产效率和产品质量，降低生产成本和风险</w:t>
      </w:r>
      <w:r>
        <w:rPr>
          <w:rFonts w:hint="eastAsia"/>
          <w:color w:val="auto"/>
          <w:lang w:eastAsia="zh-CN"/>
        </w:rPr>
        <w:t>。</w:t>
      </w:r>
    </w:p>
    <w:p w14:paraId="14D3B268">
      <w:pPr>
        <w:pStyle w:val="41"/>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8.4.3 设施集中监控系统应能实现设施的故障预警，包括当前预警的信息、已处理预警信息的管理。</w:t>
      </w:r>
    </w:p>
    <w:p w14:paraId="18F56963">
      <w:pPr>
        <w:pStyle w:val="41"/>
        <w:ind w:left="0" w:leftChars="0" w:firstLine="0" w:firstLineChars="0"/>
        <w:rPr>
          <w:rFonts w:hint="eastAsia" w:hAnsi="宋体" w:cs="宋体"/>
          <w:color w:val="auto"/>
          <w:lang w:val="en-US" w:eastAsia="zh-CN"/>
        </w:rPr>
      </w:pPr>
      <w:r>
        <w:rPr>
          <w:rFonts w:hint="eastAsia" w:hAnsi="宋体" w:cs="宋体"/>
          <w:color w:val="auto"/>
          <w:lang w:val="en-US" w:eastAsia="zh-CN"/>
        </w:rPr>
        <w:t xml:space="preserve">8.4.4 </w:t>
      </w:r>
      <w:r>
        <w:rPr>
          <w:rFonts w:hint="eastAsia" w:ascii="宋体" w:hAnsi="宋体" w:eastAsia="宋体" w:cs="宋体"/>
          <w:color w:val="auto"/>
          <w:lang w:val="en-US" w:eastAsia="zh-CN"/>
        </w:rPr>
        <w:t>设施集中监控系统应能实现对设施的</w:t>
      </w:r>
      <w:r>
        <w:rPr>
          <w:rFonts w:hint="eastAsia" w:hAnsi="宋体" w:eastAsia="宋体" w:cs="宋体"/>
          <w:color w:val="auto"/>
          <w:lang w:val="en-US" w:eastAsia="zh-CN"/>
        </w:rPr>
        <w:t>视频监控管理</w:t>
      </w:r>
      <w:r>
        <w:rPr>
          <w:rFonts w:hint="eastAsia" w:hAnsi="宋体" w:cs="宋体"/>
          <w:color w:val="auto"/>
          <w:lang w:val="en-US" w:eastAsia="zh-CN"/>
        </w:rPr>
        <w:t>，宜具备视频信息实时预览、视频抓拍、录像等功能。</w:t>
      </w:r>
    </w:p>
    <w:p w14:paraId="5430D6D5">
      <w:pPr>
        <w:pStyle w:val="40"/>
        <w:spacing w:before="156" w:after="156"/>
        <w:rPr>
          <w:rFonts w:hint="eastAsia"/>
          <w:color w:val="auto"/>
          <w:lang w:val="en-US" w:eastAsia="zh-CN"/>
        </w:rPr>
      </w:pPr>
      <w:r>
        <w:rPr>
          <w:rFonts w:hint="eastAsia"/>
          <w:color w:val="auto"/>
          <w:lang w:val="en-US" w:eastAsia="zh-CN"/>
        </w:rPr>
        <w:t>8.5 智慧运维系统</w:t>
      </w:r>
    </w:p>
    <w:p w14:paraId="4CE1CF4C">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8.</w:t>
      </w:r>
      <w:r>
        <w:rPr>
          <w:rFonts w:hint="eastAsia" w:hAnsi="宋体" w:cs="宋体"/>
          <w:color w:val="auto"/>
          <w:lang w:val="en-US" w:eastAsia="zh-CN"/>
        </w:rPr>
        <w:t>5</w:t>
      </w:r>
      <w:r>
        <w:rPr>
          <w:rFonts w:hint="eastAsia" w:hAnsi="宋体" w:eastAsia="宋体" w:cs="宋体"/>
          <w:color w:val="auto"/>
          <w:lang w:val="en-US" w:eastAsia="zh-CN"/>
        </w:rPr>
        <w:t>.</w:t>
      </w:r>
      <w:r>
        <w:rPr>
          <w:rFonts w:hint="eastAsia" w:hAnsi="宋体" w:cs="宋体"/>
          <w:color w:val="auto"/>
          <w:lang w:val="en-US" w:eastAsia="zh-CN"/>
        </w:rPr>
        <w:t>1</w:t>
      </w:r>
      <w:r>
        <w:rPr>
          <w:rFonts w:hint="eastAsia" w:hAnsi="宋体" w:eastAsia="宋体" w:cs="宋体"/>
          <w:color w:val="auto"/>
          <w:lang w:val="en-US" w:eastAsia="zh-CN"/>
        </w:rPr>
        <w:t xml:space="preserve"> 智慧运维系统</w:t>
      </w:r>
      <w:r>
        <w:rPr>
          <w:rFonts w:hint="eastAsia" w:hAnsi="宋体" w:cs="宋体"/>
          <w:color w:val="auto"/>
          <w:lang w:val="en-US" w:eastAsia="zh-CN"/>
        </w:rPr>
        <w:t>应</w:t>
      </w:r>
      <w:r>
        <w:rPr>
          <w:rFonts w:hint="eastAsia" w:hAnsi="宋体" w:eastAsia="宋体" w:cs="宋体"/>
          <w:color w:val="auto"/>
          <w:lang w:val="en-US" w:eastAsia="zh-CN"/>
        </w:rPr>
        <w:t>支持排水管网设施运维养护全过程业务管理，包括运维标准、运维计划管理、运维任务、运维工单等功能，提供包括Web端和移动端支持。</w:t>
      </w:r>
    </w:p>
    <w:p w14:paraId="6366770A">
      <w:pPr>
        <w:pStyle w:val="41"/>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8.5.2 </w:t>
      </w:r>
      <w:r>
        <w:rPr>
          <w:rFonts w:hint="eastAsia" w:hAnsi="宋体" w:eastAsia="宋体" w:cs="宋体"/>
          <w:color w:val="auto"/>
          <w:lang w:val="en-US" w:eastAsia="zh-CN"/>
        </w:rPr>
        <w:t>智慧运维系统</w:t>
      </w:r>
      <w:r>
        <w:rPr>
          <w:rFonts w:hint="eastAsia" w:ascii="宋体" w:hAnsi="宋体" w:eastAsia="宋体" w:cs="宋体"/>
          <w:color w:val="auto"/>
          <w:lang w:val="en-US" w:eastAsia="zh-CN"/>
        </w:rPr>
        <w:t>应支持通用地图相关操作，显示和查询各类排水设施的空间信息和属性信息。</w:t>
      </w:r>
    </w:p>
    <w:p w14:paraId="50C0175A">
      <w:pPr>
        <w:pStyle w:val="41"/>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8.5.3 </w:t>
      </w:r>
      <w:r>
        <w:rPr>
          <w:rFonts w:hint="eastAsia" w:hAnsi="宋体" w:eastAsia="宋体" w:cs="宋体"/>
          <w:color w:val="auto"/>
          <w:lang w:val="en-US" w:eastAsia="zh-CN"/>
        </w:rPr>
        <w:t>智慧运维系统</w:t>
      </w:r>
      <w:r>
        <w:rPr>
          <w:rFonts w:hint="eastAsia" w:ascii="宋体" w:hAnsi="宋体" w:eastAsia="宋体" w:cs="宋体"/>
          <w:color w:val="auto"/>
          <w:lang w:val="en-US" w:eastAsia="zh-CN"/>
        </w:rPr>
        <w:t>应支持运维任务计划制定，运维任务下发，移动端接收运维任务，并反馈运维任务处置结果。</w:t>
      </w:r>
    </w:p>
    <w:p w14:paraId="42FDD0F8">
      <w:pPr>
        <w:pStyle w:val="41"/>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8.5.4 </w:t>
      </w:r>
      <w:r>
        <w:rPr>
          <w:rFonts w:hint="eastAsia" w:hAnsi="宋体" w:eastAsia="宋体" w:cs="宋体"/>
          <w:color w:val="auto"/>
          <w:lang w:val="en-US" w:eastAsia="zh-CN"/>
        </w:rPr>
        <w:t>智慧运维系统</w:t>
      </w:r>
      <w:r>
        <w:rPr>
          <w:rFonts w:hint="eastAsia" w:ascii="宋体" w:hAnsi="宋体" w:eastAsia="宋体" w:cs="宋体"/>
          <w:color w:val="auto"/>
          <w:lang w:val="en-US" w:eastAsia="zh-CN"/>
        </w:rPr>
        <w:t>应支持巡查人员的位置更新、轨迹查询、轨迹回放等功能。</w:t>
      </w:r>
    </w:p>
    <w:p w14:paraId="7852BFE1">
      <w:pPr>
        <w:pStyle w:val="41"/>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8.5.5 </w:t>
      </w:r>
      <w:r>
        <w:rPr>
          <w:rFonts w:hint="eastAsia" w:hAnsi="宋体" w:eastAsia="宋体" w:cs="宋体"/>
          <w:color w:val="auto"/>
          <w:lang w:val="en-US" w:eastAsia="zh-CN"/>
        </w:rPr>
        <w:t>智慧运维系统应能对运维数据进行</w:t>
      </w:r>
      <w:r>
        <w:rPr>
          <w:rFonts w:hint="eastAsia" w:ascii="宋体" w:hAnsi="宋体" w:eastAsia="宋体" w:cs="宋体"/>
          <w:color w:val="auto"/>
          <w:lang w:val="en-US" w:eastAsia="zh-CN"/>
        </w:rPr>
        <w:t>统计分析，方便对运维工作进行评价。</w:t>
      </w:r>
    </w:p>
    <w:p w14:paraId="259250C9">
      <w:pPr>
        <w:pStyle w:val="41"/>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8.5.6 </w:t>
      </w:r>
      <w:r>
        <w:rPr>
          <w:rFonts w:hint="eastAsia" w:hAnsi="宋体" w:eastAsia="宋体" w:cs="宋体"/>
          <w:color w:val="auto"/>
          <w:lang w:val="en-US" w:eastAsia="zh-CN"/>
        </w:rPr>
        <w:t>智慧运维系统</w:t>
      </w:r>
      <w:r>
        <w:rPr>
          <w:rFonts w:hint="eastAsia" w:ascii="宋体" w:hAnsi="宋体" w:eastAsia="宋体" w:cs="宋体"/>
          <w:color w:val="auto"/>
          <w:lang w:val="en-US" w:eastAsia="zh-CN"/>
        </w:rPr>
        <w:t>应实现</w:t>
      </w:r>
      <w:r>
        <w:rPr>
          <w:rFonts w:hint="eastAsia" w:hAnsi="宋体" w:eastAsia="宋体" w:cs="宋体"/>
          <w:color w:val="auto"/>
          <w:lang w:val="en-US" w:eastAsia="zh-CN"/>
        </w:rPr>
        <w:t>Web</w:t>
      </w:r>
      <w:r>
        <w:rPr>
          <w:rFonts w:hint="eastAsia" w:ascii="宋体" w:hAnsi="宋体" w:eastAsia="宋体" w:cs="宋体"/>
          <w:color w:val="auto"/>
          <w:lang w:val="en-US" w:eastAsia="zh-CN"/>
        </w:rPr>
        <w:t>端与移动端的数据对接。</w:t>
      </w:r>
    </w:p>
    <w:p w14:paraId="4CE06803">
      <w:pPr>
        <w:pStyle w:val="40"/>
        <w:spacing w:before="156" w:after="156"/>
        <w:rPr>
          <w:rFonts w:hint="eastAsia"/>
          <w:color w:val="auto"/>
          <w:lang w:val="en-US" w:eastAsia="zh-CN"/>
        </w:rPr>
      </w:pPr>
      <w:r>
        <w:rPr>
          <w:rFonts w:hint="eastAsia"/>
          <w:color w:val="auto"/>
          <w:lang w:val="en-US" w:eastAsia="zh-CN"/>
        </w:rPr>
        <w:t>8.6 应急排涝调度系统</w:t>
      </w:r>
    </w:p>
    <w:p w14:paraId="6610CCCB">
      <w:pPr>
        <w:pStyle w:val="41"/>
        <w:ind w:left="0" w:leftChars="0" w:firstLine="0" w:firstLineChars="0"/>
        <w:rPr>
          <w:rFonts w:hint="default" w:ascii="宋体" w:hAnsi="宋体" w:eastAsia="宋体" w:cs="宋体"/>
          <w:color w:val="auto"/>
          <w:lang w:val="en-US" w:eastAsia="zh-CN"/>
        </w:rPr>
      </w:pPr>
      <w:r>
        <w:rPr>
          <w:rFonts w:hint="eastAsia" w:ascii="宋体" w:hAnsi="宋体" w:eastAsia="宋体" w:cs="宋体"/>
          <w:color w:val="auto"/>
          <w:lang w:val="en-US" w:eastAsia="zh-CN"/>
        </w:rPr>
        <w:t>8.6.1 应急排涝调度系统应具备完整的内涝预警体系，通过物联网终端实时监测道路积水点、排水管网、河道、智能分流井、泵站、污水处理厂等设施的水位、雨量、流量、水质、视频等信息，</w:t>
      </w:r>
      <w:r>
        <w:rPr>
          <w:rFonts w:hint="default" w:ascii="宋体" w:hAnsi="宋体" w:eastAsia="宋体" w:cs="宋体"/>
          <w:color w:val="auto"/>
          <w:lang w:val="en-US" w:eastAsia="zh-CN"/>
        </w:rPr>
        <w:t>并基于预设阈值自动触发多级预警（如弹窗、短信、移动端推送等）。</w:t>
      </w:r>
    </w:p>
    <w:p w14:paraId="0C93B3B7">
      <w:pPr>
        <w:pStyle w:val="41"/>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8.6.2 系统应集成地理信息（GIS）、监测数据、气象预报等多源信息，通过可视化界面展示管网运行状态、易涝点分布及应急资源位置。</w:t>
      </w:r>
    </w:p>
    <w:p w14:paraId="0E0EE47E">
      <w:pPr>
        <w:pStyle w:val="41"/>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8.6.3 系统应内置防汛防涝应急预案库，支持一键启动应急响应流程，动态跟踪处置进展，并联动应急资源（如抢险队伍、设备）调度，减少内涝损失。</w:t>
      </w:r>
    </w:p>
    <w:p w14:paraId="6904FEAF">
      <w:pPr>
        <w:pStyle w:val="41"/>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8.6.4 系统应能实现应急处置后评估及预案优化功能。</w:t>
      </w:r>
    </w:p>
    <w:p w14:paraId="47C6D140">
      <w:pPr>
        <w:pStyle w:val="41"/>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8.6.5 系统应支持与市政、环保、交通等部门数据互通，实现雨前、雨中、雨后协同管理。</w:t>
      </w:r>
    </w:p>
    <w:p w14:paraId="0B9EC9AE">
      <w:pPr>
        <w:pStyle w:val="40"/>
        <w:spacing w:before="156" w:after="156"/>
        <w:rPr>
          <w:rFonts w:hint="eastAsia"/>
          <w:color w:val="auto"/>
          <w:lang w:val="en-US" w:eastAsia="zh-CN"/>
        </w:rPr>
      </w:pPr>
      <w:r>
        <w:rPr>
          <w:rFonts w:hint="eastAsia"/>
          <w:color w:val="auto"/>
          <w:lang w:val="en-US" w:eastAsia="zh-CN"/>
        </w:rPr>
        <w:t>8.7 清污分流调度系统</w:t>
      </w:r>
    </w:p>
    <w:p w14:paraId="544AEC21">
      <w:pPr>
        <w:pStyle w:val="41"/>
        <w:ind w:left="0" w:leftChars="0" w:firstLine="0" w:firstLineChars="0"/>
        <w:rPr>
          <w:rFonts w:hint="eastAsia" w:hAnsi="宋体" w:eastAsia="宋体" w:cs="宋体"/>
          <w:color w:val="auto"/>
          <w:lang w:val="en-US" w:eastAsia="zh-CN"/>
        </w:rPr>
      </w:pPr>
      <w:r>
        <w:rPr>
          <w:rFonts w:hint="eastAsia" w:hAnsi="宋体" w:cs="宋体"/>
          <w:color w:val="auto"/>
          <w:lang w:val="en-US" w:eastAsia="zh-CN"/>
        </w:rPr>
        <w:t xml:space="preserve">8.7.1 </w:t>
      </w:r>
      <w:r>
        <w:rPr>
          <w:rFonts w:hint="eastAsia" w:hAnsi="宋体" w:eastAsia="宋体" w:cs="宋体"/>
          <w:color w:val="auto"/>
          <w:lang w:val="en-US" w:eastAsia="zh-CN"/>
        </w:rPr>
        <w:t>基于排水系统清污分流思想，对流域智能分流井、调蓄池、和污水提升泵站进行联合调度。把流域内的脏水（生活污水、工业废水和初期雨水）截流至污水系统，把流域内的清水（中后期干净的雨水）排放至自然水体。提高污水处理厂的进厂浓度，减少污水处理厂的处理量，减少排至自然水体的污染物量。</w:t>
      </w:r>
    </w:p>
    <w:p w14:paraId="515121B5">
      <w:pPr>
        <w:pStyle w:val="41"/>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8.7.2 系统需内置水力水质耦合模型，支持模拟不同降雨情景下的管网运行状态，动态优化分流策略与截流设施运行参数。</w:t>
      </w:r>
    </w:p>
    <w:p w14:paraId="0E380A37">
      <w:pPr>
        <w:pStyle w:val="41"/>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8.7.3 系统宜整合GIS地理信息、气象数据、实时监测数据及排水设施运行状态，通过可视化界面展示管网负荷热力图、调蓄池容量占用率、溢流风险点分布等，支持多维度数据叠加分析。</w:t>
      </w:r>
    </w:p>
    <w:p w14:paraId="315056FA">
      <w:pPr>
        <w:pStyle w:val="41"/>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8.7.4 系统</w:t>
      </w:r>
      <w:r>
        <w:rPr>
          <w:rFonts w:hint="eastAsia" w:ascii="Segoe UI" w:hAnsi="Segoe UI" w:eastAsia="宋体" w:cs="Segoe UI"/>
          <w:i w:val="0"/>
          <w:iCs w:val="0"/>
          <w:caps w:val="0"/>
          <w:color w:val="auto"/>
          <w:spacing w:val="0"/>
          <w:sz w:val="21"/>
          <w:szCs w:val="21"/>
          <w:shd w:val="clear" w:fill="FFFFFF"/>
          <w:lang w:val="en-US" w:eastAsia="zh-CN"/>
        </w:rPr>
        <w:t>应</w:t>
      </w:r>
      <w:r>
        <w:rPr>
          <w:rFonts w:ascii="Segoe UI" w:hAnsi="Segoe UI" w:eastAsia="Segoe UI" w:cs="Segoe UI"/>
          <w:i w:val="0"/>
          <w:iCs w:val="0"/>
          <w:caps w:val="0"/>
          <w:color w:val="auto"/>
          <w:spacing w:val="0"/>
          <w:sz w:val="21"/>
          <w:szCs w:val="21"/>
          <w:shd w:val="clear" w:fill="FFFFFF"/>
        </w:rPr>
        <w:t>支持BIM+GIS三维可视化，动态展示管网拓扑、设施状态及调度</w:t>
      </w:r>
      <w:r>
        <w:rPr>
          <w:rFonts w:hint="eastAsia" w:ascii="Segoe UI" w:hAnsi="Segoe UI" w:eastAsia="宋体" w:cs="Segoe UI"/>
          <w:i w:val="0"/>
          <w:iCs w:val="0"/>
          <w:caps w:val="0"/>
          <w:color w:val="auto"/>
          <w:spacing w:val="0"/>
          <w:sz w:val="21"/>
          <w:szCs w:val="21"/>
          <w:shd w:val="clear" w:fill="FFFFFF"/>
          <w:lang w:val="en-US" w:eastAsia="zh-CN"/>
        </w:rPr>
        <w:t>路径</w:t>
      </w:r>
      <w:r>
        <w:rPr>
          <w:rFonts w:hint="eastAsia" w:ascii="宋体" w:hAnsi="宋体" w:eastAsia="宋体" w:cs="宋体"/>
          <w:color w:val="auto"/>
          <w:lang w:val="en-US" w:eastAsia="zh-CN"/>
        </w:rPr>
        <w:t>。</w:t>
      </w:r>
    </w:p>
    <w:p w14:paraId="568729F1">
      <w:pPr>
        <w:pStyle w:val="114"/>
        <w:spacing w:before="312" w:after="312"/>
        <w:ind w:left="0"/>
        <w:jc w:val="left"/>
        <w:rPr>
          <w:rFonts w:hint="eastAsia" w:hAnsi="黑体" w:cs="黑体"/>
          <w:color w:val="auto"/>
          <w:szCs w:val="21"/>
          <w:lang w:val="en-US" w:eastAsia="zh-CN"/>
        </w:rPr>
      </w:pPr>
      <w:bookmarkStart w:id="136" w:name="_Toc3314"/>
      <w:bookmarkStart w:id="137" w:name="_Toc9922"/>
      <w:r>
        <w:rPr>
          <w:rFonts w:hint="eastAsia" w:hAnsi="黑体" w:cs="黑体"/>
          <w:color w:val="auto"/>
          <w:szCs w:val="21"/>
          <w:lang w:val="en-US" w:eastAsia="zh-CN"/>
        </w:rPr>
        <w:t>运维管理</w:t>
      </w:r>
      <w:bookmarkEnd w:id="136"/>
      <w:bookmarkEnd w:id="137"/>
    </w:p>
    <w:p w14:paraId="60EEA4A4">
      <w:pPr>
        <w:pStyle w:val="40"/>
        <w:spacing w:before="156" w:after="156"/>
        <w:rPr>
          <w:color w:val="auto"/>
        </w:rPr>
      </w:pPr>
      <w:r>
        <w:rPr>
          <w:rFonts w:hint="eastAsia"/>
          <w:color w:val="auto"/>
          <w:lang w:val="en-US" w:eastAsia="zh-CN"/>
        </w:rPr>
        <w:t>9</w:t>
      </w:r>
      <w:r>
        <w:rPr>
          <w:rFonts w:hint="eastAsia"/>
          <w:color w:val="auto"/>
        </w:rPr>
        <w:t>.1 一般规定</w:t>
      </w:r>
    </w:p>
    <w:p w14:paraId="5BEE21AB">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 xml:space="preserve">9.1.1 制定可行的排水设施养护制度，完善相应的监督制度，建立长效的运行管理机制。 </w:t>
      </w:r>
    </w:p>
    <w:p w14:paraId="1872D467">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 xml:space="preserve">9.1.2 运维管理工作应由具备专业能力和相应资质的单位负责。  </w:t>
      </w:r>
    </w:p>
    <w:p w14:paraId="656489A9">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9.1.3 运维内容分为巡检、养护和维修，运维工作的开展宜符合以下规定：</w:t>
      </w:r>
    </w:p>
    <w:p w14:paraId="370B4EB0">
      <w:pPr>
        <w:pStyle w:val="41"/>
        <w:numPr>
          <w:ilvl w:val="0"/>
          <w:numId w:val="64"/>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rPr>
        <w:t>巡检：由巡检员按照智慧排水平台的计划巡查、点检排水管网及其附属设施的运行状况和风险点，并对异常问题进行处理。巡检完成后，巡检员将情况反馈到智慧排水平台，由管理人员进行审核；</w:t>
      </w:r>
    </w:p>
    <w:p w14:paraId="1359E03A">
      <w:pPr>
        <w:pStyle w:val="41"/>
        <w:numPr>
          <w:ilvl w:val="0"/>
          <w:numId w:val="64"/>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rPr>
        <w:t>养护：根据排水管网及其附属设施的养护周期，养护人员按照平台计划进行养护工作，养护完成后，结果将反馈到平台由管理人员进行审核；</w:t>
      </w:r>
    </w:p>
    <w:p w14:paraId="4A0B15DE">
      <w:pPr>
        <w:pStyle w:val="41"/>
        <w:numPr>
          <w:ilvl w:val="0"/>
          <w:numId w:val="64"/>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rPr>
        <w:t>维修：在巡检和设备使用过程中，运维人员可在智慧排水平台的隐患管理模块提出维修需求，系统平台将维修任务派发给设备维修人员进行处理。</w:t>
      </w:r>
    </w:p>
    <w:p w14:paraId="65661A1A">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9.1.4 运维单位应合理设置岗位和配置专业技术人员和巡查养护人员，满足硬件设备检修、软件系统维护、排水管网维护、应急响应处理等的需求，定期对人员进行培训和考核。</w:t>
      </w:r>
    </w:p>
    <w:p w14:paraId="143E1E6A">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9.1.5 运维单位应利用信息化技术加强运维管理，建立健全安全管理制度，建设绩效评价与检查考核体系，保障管网和附属设施安全长效运行。</w:t>
      </w:r>
    </w:p>
    <w:p w14:paraId="0668C892">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9.1.6 运维单位应加强排水管道及附属设施基础信息资料、运行与维护的动态管理。</w:t>
      </w:r>
    </w:p>
    <w:p w14:paraId="713EBB5D">
      <w:pPr>
        <w:pStyle w:val="40"/>
        <w:spacing w:before="156" w:after="156"/>
        <w:rPr>
          <w:color w:val="auto"/>
        </w:rPr>
      </w:pPr>
      <w:r>
        <w:rPr>
          <w:rFonts w:hint="eastAsia"/>
          <w:color w:val="auto"/>
          <w:lang w:val="en-US" w:eastAsia="zh-CN"/>
        </w:rPr>
        <w:t>9</w:t>
      </w:r>
      <w:r>
        <w:rPr>
          <w:rFonts w:hint="eastAsia"/>
          <w:color w:val="auto"/>
        </w:rPr>
        <w:t>.2 管</w:t>
      </w:r>
      <w:r>
        <w:rPr>
          <w:rFonts w:hint="eastAsia"/>
          <w:color w:val="auto"/>
          <w:lang w:val="en-US" w:eastAsia="zh-CN"/>
        </w:rPr>
        <w:t>渠</w:t>
      </w:r>
      <w:r>
        <w:rPr>
          <w:rFonts w:hint="eastAsia"/>
          <w:color w:val="auto"/>
        </w:rPr>
        <w:t>运维</w:t>
      </w:r>
    </w:p>
    <w:p w14:paraId="2EE7A006">
      <w:pPr>
        <w:pStyle w:val="41"/>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9.2.1 排水管渠的维护工作</w:t>
      </w:r>
      <w:r>
        <w:rPr>
          <w:rFonts w:hint="default" w:ascii="宋体" w:hAnsi="宋体" w:eastAsia="宋体" w:cs="宋体"/>
          <w:color w:val="auto"/>
          <w:lang w:val="en-US" w:eastAsia="zh-CN"/>
        </w:rPr>
        <w:t>应符合CJJ</w:t>
      </w:r>
      <w:r>
        <w:rPr>
          <w:rFonts w:hint="eastAsia" w:hAnsi="宋体" w:cs="宋体"/>
          <w:color w:val="auto"/>
          <w:lang w:val="en-US" w:eastAsia="zh-CN"/>
        </w:rPr>
        <w:t xml:space="preserve"> </w:t>
      </w:r>
      <w:r>
        <w:rPr>
          <w:rFonts w:hint="default" w:ascii="宋体" w:hAnsi="宋体" w:eastAsia="宋体" w:cs="宋体"/>
          <w:color w:val="auto"/>
          <w:lang w:val="en-US" w:eastAsia="zh-CN"/>
        </w:rPr>
        <w:t>68</w:t>
      </w:r>
      <w:r>
        <w:rPr>
          <w:rFonts w:hint="eastAsia" w:ascii="宋体" w:hAnsi="宋体" w:eastAsia="宋体" w:cs="宋体"/>
          <w:color w:val="auto"/>
          <w:lang w:val="en-US" w:eastAsia="zh-CN"/>
        </w:rPr>
        <w:t>的</w:t>
      </w:r>
      <w:r>
        <w:rPr>
          <w:rFonts w:hint="default" w:ascii="宋体" w:hAnsi="宋体" w:eastAsia="宋体" w:cs="宋体"/>
          <w:color w:val="auto"/>
          <w:lang w:val="en-US" w:eastAsia="zh-CN"/>
        </w:rPr>
        <w:t>相关规定，包括管</w:t>
      </w:r>
      <w:r>
        <w:rPr>
          <w:rFonts w:hint="eastAsia" w:ascii="宋体" w:hAnsi="宋体" w:eastAsia="宋体" w:cs="宋体"/>
          <w:color w:val="auto"/>
          <w:lang w:val="en-US" w:eastAsia="zh-CN"/>
        </w:rPr>
        <w:t>渠</w:t>
      </w:r>
      <w:r>
        <w:rPr>
          <w:rFonts w:hint="default" w:ascii="宋体" w:hAnsi="宋体" w:eastAsia="宋体" w:cs="宋体"/>
          <w:color w:val="auto"/>
          <w:lang w:val="en-US" w:eastAsia="zh-CN"/>
        </w:rPr>
        <w:t>清淤、结构性修复、功能性维护等内容，并结合管道的材质、年限和运行环境，制定针对性维护计划</w:t>
      </w:r>
      <w:r>
        <w:rPr>
          <w:rFonts w:hint="eastAsia" w:ascii="宋体" w:hAnsi="宋体" w:eastAsia="宋体" w:cs="宋体"/>
          <w:color w:val="auto"/>
          <w:lang w:val="en-US" w:eastAsia="zh-CN"/>
        </w:rPr>
        <w:t>排水管道的维护工作。</w:t>
      </w:r>
    </w:p>
    <w:p w14:paraId="1138E394">
      <w:pPr>
        <w:pStyle w:val="41"/>
        <w:ind w:left="0" w:leftChars="0" w:firstLine="0" w:firstLineChars="0"/>
        <w:rPr>
          <w:rFonts w:hint="eastAsia" w:hAnsi="宋体" w:eastAsia="宋体" w:cs="宋体"/>
          <w:color w:val="auto"/>
          <w:lang w:val="en-US" w:eastAsia="zh-CN"/>
        </w:rPr>
      </w:pPr>
      <w:r>
        <w:rPr>
          <w:rFonts w:hint="eastAsia" w:ascii="宋体" w:hAnsi="宋体" w:eastAsia="宋体" w:cs="宋体"/>
          <w:color w:val="auto"/>
          <w:lang w:val="en-US" w:eastAsia="zh-CN"/>
        </w:rPr>
        <w:t>9.2.2 管渠运维的对象</w:t>
      </w:r>
      <w:r>
        <w:rPr>
          <w:rFonts w:hint="default" w:ascii="宋体" w:hAnsi="宋体" w:eastAsia="宋体" w:cs="宋体"/>
          <w:color w:val="auto"/>
          <w:lang w:val="en-US" w:eastAsia="zh-CN"/>
        </w:rPr>
        <w:t>包括排水口、排水管</w:t>
      </w:r>
      <w:r>
        <w:rPr>
          <w:rFonts w:hint="eastAsia" w:ascii="宋体" w:hAnsi="宋体" w:eastAsia="宋体" w:cs="宋体"/>
          <w:color w:val="auto"/>
          <w:lang w:val="en-US" w:eastAsia="zh-CN"/>
        </w:rPr>
        <w:t>渠</w:t>
      </w:r>
      <w:r>
        <w:rPr>
          <w:rFonts w:hint="default" w:ascii="宋体" w:hAnsi="宋体" w:eastAsia="宋体" w:cs="宋体"/>
          <w:color w:val="auto"/>
          <w:lang w:val="en-US" w:eastAsia="zh-CN"/>
        </w:rPr>
        <w:t>、检查井、井盖</w:t>
      </w:r>
      <w:r>
        <w:rPr>
          <w:rFonts w:hint="eastAsia" w:ascii="宋体" w:hAnsi="宋体" w:eastAsia="宋体" w:cs="宋体"/>
          <w:color w:val="auto"/>
          <w:lang w:val="en-US" w:eastAsia="zh-CN"/>
        </w:rPr>
        <w:t>和</w:t>
      </w:r>
      <w:r>
        <w:rPr>
          <w:rFonts w:hint="default" w:ascii="宋体" w:hAnsi="宋体" w:eastAsia="宋体" w:cs="宋体"/>
          <w:color w:val="auto"/>
          <w:lang w:val="en-US" w:eastAsia="zh-CN"/>
        </w:rPr>
        <w:t>雨水口等排水系统设施。</w:t>
      </w:r>
    </w:p>
    <w:p w14:paraId="67624250">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9.2.</w:t>
      </w:r>
      <w:r>
        <w:rPr>
          <w:rFonts w:hint="eastAsia" w:hAnsi="宋体" w:cs="宋体"/>
          <w:color w:val="auto"/>
          <w:lang w:val="en-US" w:eastAsia="zh-CN"/>
        </w:rPr>
        <w:t>3</w:t>
      </w:r>
      <w:r>
        <w:rPr>
          <w:rFonts w:hint="eastAsia" w:hAnsi="宋体" w:eastAsia="宋体" w:cs="宋体"/>
          <w:color w:val="auto"/>
          <w:lang w:val="en-US" w:eastAsia="zh-CN"/>
        </w:rPr>
        <w:t xml:space="preserve"> 运维单位宜根据</w:t>
      </w:r>
      <w:r>
        <w:rPr>
          <w:rFonts w:hint="eastAsia" w:hAnsi="宋体" w:cs="宋体"/>
          <w:color w:val="auto"/>
          <w:lang w:val="en-US" w:eastAsia="zh-CN"/>
        </w:rPr>
        <w:t>管网智能</w:t>
      </w:r>
      <w:r>
        <w:rPr>
          <w:rFonts w:hint="eastAsia" w:hAnsi="宋体" w:eastAsia="宋体" w:cs="宋体"/>
          <w:color w:val="auto"/>
          <w:lang w:val="en-US" w:eastAsia="zh-CN"/>
        </w:rPr>
        <w:t>诊断分析结果有针对性地开展排水管网运维工作，实现按需管养。</w:t>
      </w:r>
    </w:p>
    <w:p w14:paraId="59C27FA0">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9.2.</w:t>
      </w:r>
      <w:r>
        <w:rPr>
          <w:rFonts w:hint="eastAsia" w:hAnsi="宋体" w:cs="宋体"/>
          <w:color w:val="auto"/>
          <w:lang w:val="en-US" w:eastAsia="zh-CN"/>
        </w:rPr>
        <w:t>4</w:t>
      </w:r>
      <w:r>
        <w:rPr>
          <w:rFonts w:hint="eastAsia" w:hAnsi="宋体" w:eastAsia="宋体" w:cs="宋体"/>
          <w:color w:val="auto"/>
          <w:lang w:val="en-US" w:eastAsia="zh-CN"/>
        </w:rPr>
        <w:t xml:space="preserve"> 对于智慧排水系统判定存在问题的管道，应利用电视检测、声纳检测、潜望镜检测等检测工具对其进行调查和验证，确定病灶的类型和具体位置，并制作详细的整改方案。</w:t>
      </w:r>
    </w:p>
    <w:p w14:paraId="6FEA6232">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 xml:space="preserve">9.2.5 管道检查与评估应符合CJJ 181的相关规定。 </w:t>
      </w:r>
    </w:p>
    <w:p w14:paraId="2EDC1310">
      <w:pPr>
        <w:pStyle w:val="40"/>
        <w:spacing w:before="156" w:after="156"/>
        <w:rPr>
          <w:color w:val="auto"/>
        </w:rPr>
      </w:pPr>
      <w:r>
        <w:rPr>
          <w:rFonts w:hint="eastAsia"/>
          <w:color w:val="auto"/>
          <w:lang w:val="en-US" w:eastAsia="zh-CN"/>
        </w:rPr>
        <w:t>9</w:t>
      </w:r>
      <w:r>
        <w:rPr>
          <w:rFonts w:hint="eastAsia"/>
          <w:color w:val="auto"/>
        </w:rPr>
        <w:t>.3 设施运维</w:t>
      </w:r>
    </w:p>
    <w:p w14:paraId="4C313434">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9.3.</w:t>
      </w:r>
      <w:r>
        <w:rPr>
          <w:rFonts w:hint="eastAsia" w:hAnsi="宋体" w:cs="宋体"/>
          <w:color w:val="auto"/>
          <w:lang w:val="en-US" w:eastAsia="zh-CN"/>
        </w:rPr>
        <w:t>1</w:t>
      </w:r>
      <w:r>
        <w:rPr>
          <w:rFonts w:hint="eastAsia" w:hAnsi="宋体" w:eastAsia="宋体" w:cs="宋体"/>
          <w:color w:val="auto"/>
          <w:lang w:val="en-US" w:eastAsia="zh-CN"/>
        </w:rPr>
        <w:t xml:space="preserve"> 设施运维的对象主要包括智能分流井、调蓄池</w:t>
      </w:r>
      <w:r>
        <w:rPr>
          <w:rFonts w:hint="eastAsia" w:hAnsi="宋体" w:cs="宋体"/>
          <w:color w:val="auto"/>
          <w:lang w:val="en-US" w:eastAsia="zh-CN"/>
        </w:rPr>
        <w:t>和</w:t>
      </w:r>
      <w:r>
        <w:rPr>
          <w:rFonts w:hint="eastAsia" w:hAnsi="宋体" w:eastAsia="宋体" w:cs="宋体"/>
          <w:color w:val="auto"/>
          <w:lang w:val="en-US" w:eastAsia="zh-CN"/>
        </w:rPr>
        <w:t>泵站</w:t>
      </w:r>
      <w:r>
        <w:rPr>
          <w:rFonts w:hint="eastAsia" w:hAnsi="宋体" w:cs="宋体"/>
          <w:color w:val="auto"/>
          <w:lang w:val="en-US" w:eastAsia="zh-CN"/>
        </w:rPr>
        <w:t>等设施</w:t>
      </w:r>
      <w:r>
        <w:rPr>
          <w:rFonts w:hint="eastAsia" w:hAnsi="宋体" w:eastAsia="宋体" w:cs="宋体"/>
          <w:color w:val="auto"/>
          <w:lang w:val="en-US" w:eastAsia="zh-CN"/>
        </w:rPr>
        <w:t>。</w:t>
      </w:r>
    </w:p>
    <w:p w14:paraId="2834C28B">
      <w:pPr>
        <w:pStyle w:val="41"/>
        <w:ind w:left="0" w:leftChars="0" w:firstLine="0" w:firstLineChars="0"/>
        <w:rPr>
          <w:rFonts w:hint="eastAsia" w:hAnsi="宋体" w:cs="宋体"/>
          <w:color w:val="auto"/>
          <w:lang w:val="en-US" w:eastAsia="zh-CN"/>
        </w:rPr>
      </w:pPr>
      <w:r>
        <w:rPr>
          <w:rFonts w:hint="eastAsia" w:hAnsi="宋体" w:eastAsia="宋体" w:cs="宋体"/>
          <w:color w:val="auto"/>
          <w:lang w:val="en-US" w:eastAsia="zh-CN"/>
        </w:rPr>
        <w:t>9.3.</w:t>
      </w:r>
      <w:r>
        <w:rPr>
          <w:rFonts w:hint="eastAsia" w:hAnsi="宋体" w:cs="宋体"/>
          <w:color w:val="auto"/>
          <w:lang w:val="en-US" w:eastAsia="zh-CN"/>
        </w:rPr>
        <w:t>2 截流调蓄设施</w:t>
      </w:r>
      <w:r>
        <w:rPr>
          <w:rFonts w:hint="eastAsia" w:hAnsi="宋体" w:eastAsia="宋体" w:cs="宋体"/>
          <w:color w:val="auto"/>
          <w:lang w:val="en-US" w:eastAsia="zh-CN"/>
        </w:rPr>
        <w:t>的运行与维护应符合CJJ</w:t>
      </w:r>
      <w:r>
        <w:rPr>
          <w:rFonts w:hint="eastAsia" w:hAnsi="宋体" w:cs="宋体"/>
          <w:color w:val="auto"/>
          <w:lang w:val="en-US" w:eastAsia="zh-CN"/>
        </w:rPr>
        <w:t xml:space="preserve">/T </w:t>
      </w:r>
      <w:r>
        <w:rPr>
          <w:rFonts w:hint="eastAsia" w:hAnsi="宋体" w:eastAsia="宋体" w:cs="宋体"/>
          <w:color w:val="auto"/>
          <w:lang w:val="en-US" w:eastAsia="zh-CN"/>
        </w:rPr>
        <w:t>68的相关规定</w:t>
      </w:r>
      <w:r>
        <w:rPr>
          <w:rFonts w:hint="eastAsia" w:hAnsi="宋体" w:cs="宋体"/>
          <w:color w:val="auto"/>
          <w:lang w:val="en-US" w:eastAsia="zh-CN"/>
        </w:rPr>
        <w:t>。</w:t>
      </w:r>
    </w:p>
    <w:p w14:paraId="402ECDB5">
      <w:pPr>
        <w:pStyle w:val="41"/>
        <w:ind w:left="0" w:leftChars="0" w:firstLine="0" w:firstLineChars="0"/>
        <w:rPr>
          <w:rFonts w:hint="eastAsia" w:hAnsi="宋体" w:cs="宋体"/>
          <w:color w:val="auto"/>
          <w:lang w:val="en-US" w:eastAsia="zh-CN"/>
        </w:rPr>
      </w:pPr>
      <w:r>
        <w:rPr>
          <w:rFonts w:hint="eastAsia" w:hAnsi="宋体" w:cs="宋体"/>
          <w:color w:val="auto"/>
          <w:lang w:val="en-US" w:eastAsia="zh-CN"/>
        </w:rPr>
        <w:t>9.3.3 设施应定期应进行定期巡检，应符合以下要求：</w:t>
      </w:r>
    </w:p>
    <w:p w14:paraId="417651FD">
      <w:pPr>
        <w:pStyle w:val="41"/>
        <w:numPr>
          <w:ilvl w:val="0"/>
          <w:numId w:val="65"/>
        </w:numPr>
        <w:tabs>
          <w:tab w:val="center" w:pos="4201"/>
          <w:tab w:val="right" w:leader="dot" w:pos="9298"/>
        </w:tabs>
        <w:ind w:left="726" w:leftChars="0" w:hanging="306" w:firstLineChars="0"/>
        <w:rPr>
          <w:rFonts w:hint="eastAsia" w:ascii="宋体" w:hAnsi="宋体" w:eastAsia="宋体" w:cs="宋体"/>
          <w:color w:val="auto"/>
          <w:szCs w:val="21"/>
        </w:rPr>
      </w:pPr>
      <w:r>
        <w:rPr>
          <w:rFonts w:hint="eastAsia" w:hAnsi="宋体" w:cs="宋体"/>
          <w:color w:val="auto"/>
          <w:szCs w:val="21"/>
        </w:rPr>
        <w:t>巡检</w:t>
      </w:r>
      <w:r>
        <w:rPr>
          <w:rFonts w:hint="eastAsia" w:ascii="宋体" w:hAnsi="宋体" w:eastAsia="宋体" w:cs="宋体"/>
          <w:color w:val="auto"/>
          <w:lang w:val="en-US" w:eastAsia="zh-CN"/>
        </w:rPr>
        <w:t>应包括外部巡视和内部检查。</w:t>
      </w:r>
    </w:p>
    <w:p w14:paraId="38E8D8CA">
      <w:pPr>
        <w:pStyle w:val="41"/>
        <w:numPr>
          <w:ilvl w:val="0"/>
          <w:numId w:val="65"/>
        </w:numPr>
        <w:tabs>
          <w:tab w:val="center" w:pos="4201"/>
          <w:tab w:val="right" w:leader="dot" w:pos="9298"/>
        </w:tabs>
        <w:ind w:left="726" w:leftChars="0" w:hanging="306" w:firstLineChars="0"/>
        <w:rPr>
          <w:rFonts w:hint="eastAsia" w:ascii="宋体" w:hAnsi="宋体" w:eastAsia="宋体" w:cs="宋体"/>
          <w:color w:val="auto"/>
          <w:szCs w:val="21"/>
        </w:rPr>
      </w:pPr>
      <w:r>
        <w:rPr>
          <w:rFonts w:hint="eastAsia" w:ascii="宋体" w:hAnsi="宋体" w:eastAsia="宋体" w:cs="宋体"/>
          <w:color w:val="auto"/>
          <w:lang w:val="en-US" w:eastAsia="zh-CN"/>
        </w:rPr>
        <w:t>外部巡视应包括检查并确认设施外部、截流管、排河口等完好、控制柜运行正常、晴天无污水外溢。</w:t>
      </w:r>
    </w:p>
    <w:p w14:paraId="5FABC8C3">
      <w:pPr>
        <w:pStyle w:val="41"/>
        <w:numPr>
          <w:ilvl w:val="0"/>
          <w:numId w:val="65"/>
        </w:numPr>
        <w:tabs>
          <w:tab w:val="center" w:pos="4201"/>
          <w:tab w:val="right" w:leader="dot" w:pos="9298"/>
        </w:tabs>
        <w:ind w:left="726" w:leftChars="0" w:hanging="306"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内部检查应包括检查并确认井内无漂浮物积聚、井内水位和流向正常，防坠落设施完好，井内设备的开启度正常，监测仪表正常等。</w:t>
      </w:r>
    </w:p>
    <w:p w14:paraId="020F53D5">
      <w:pPr>
        <w:pStyle w:val="41"/>
        <w:numPr>
          <w:ilvl w:val="0"/>
          <w:numId w:val="65"/>
        </w:numPr>
        <w:tabs>
          <w:tab w:val="center" w:pos="4201"/>
          <w:tab w:val="right" w:leader="dot" w:pos="9298"/>
        </w:tabs>
        <w:ind w:left="726" w:leftChars="0" w:hanging="306"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外部巡视每月应1次～3次，内部检查每年不应少于2次，雨季可增加检查频率。应做好巡查记录和台账</w:t>
      </w:r>
    </w:p>
    <w:p w14:paraId="4C322F93">
      <w:pPr>
        <w:pStyle w:val="41"/>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9.3.4 设施内部、井内设备、自动化控制系统和监测仪表等，应进行养护维修，应符合以下要求：</w:t>
      </w:r>
    </w:p>
    <w:p w14:paraId="5B5811BB">
      <w:pPr>
        <w:pStyle w:val="41"/>
        <w:numPr>
          <w:ilvl w:val="0"/>
          <w:numId w:val="66"/>
        </w:numPr>
        <w:tabs>
          <w:tab w:val="center" w:pos="4201"/>
          <w:tab w:val="right" w:leader="dot" w:pos="9298"/>
        </w:tabs>
        <w:ind w:left="726" w:leftChars="0" w:hanging="306"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设施内部的漂浮物和淤泥应定期清理，雨后宜清理1次，非雨季每个月宜至少清理1次；</w:t>
      </w:r>
    </w:p>
    <w:p w14:paraId="5A753F00">
      <w:pPr>
        <w:pStyle w:val="41"/>
        <w:numPr>
          <w:ilvl w:val="0"/>
          <w:numId w:val="66"/>
        </w:numPr>
        <w:tabs>
          <w:tab w:val="center" w:pos="4201"/>
          <w:tab w:val="right" w:leader="dot" w:pos="9298"/>
        </w:tabs>
        <w:ind w:left="726" w:leftChars="0" w:hanging="306"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发现设施护栏和检修盖板损坏，应立即修补或更换；</w:t>
      </w:r>
    </w:p>
    <w:p w14:paraId="68843EAF">
      <w:pPr>
        <w:pStyle w:val="41"/>
        <w:numPr>
          <w:ilvl w:val="0"/>
          <w:numId w:val="66"/>
        </w:numPr>
        <w:tabs>
          <w:tab w:val="center" w:pos="4201"/>
          <w:tab w:val="right" w:leader="dot" w:pos="9298"/>
        </w:tabs>
        <w:ind w:left="726" w:leftChars="0" w:hanging="306"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设备安装附件应紧固、无锈蚀，设备密封应完好、无渗漏</w:t>
      </w:r>
    </w:p>
    <w:p w14:paraId="6CDE664F">
      <w:pPr>
        <w:pStyle w:val="41"/>
        <w:numPr>
          <w:ilvl w:val="0"/>
          <w:numId w:val="66"/>
        </w:numPr>
        <w:tabs>
          <w:tab w:val="center" w:pos="4201"/>
          <w:tab w:val="right" w:leader="dot" w:pos="9298"/>
        </w:tabs>
        <w:ind w:left="726" w:leftChars="0" w:hanging="306"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动力电缆及控制电缆的接线、接插件应无松动；</w:t>
      </w:r>
    </w:p>
    <w:p w14:paraId="76846012">
      <w:pPr>
        <w:pStyle w:val="41"/>
        <w:numPr>
          <w:ilvl w:val="0"/>
          <w:numId w:val="66"/>
        </w:numPr>
        <w:tabs>
          <w:tab w:val="center" w:pos="4201"/>
          <w:tab w:val="right" w:leader="dot" w:pos="9298"/>
        </w:tabs>
        <w:ind w:left="726" w:leftChars="0" w:hanging="306"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液压与气压的管线管路应无破损、无渗漏，液压油宜每年更换1次；</w:t>
      </w:r>
    </w:p>
    <w:p w14:paraId="07945506">
      <w:pPr>
        <w:pStyle w:val="41"/>
        <w:numPr>
          <w:ilvl w:val="0"/>
          <w:numId w:val="66"/>
        </w:numPr>
        <w:tabs>
          <w:tab w:val="center" w:pos="4201"/>
          <w:tab w:val="right" w:leader="dot" w:pos="9298"/>
        </w:tabs>
        <w:ind w:left="726" w:leftChars="0" w:hanging="306"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监测仪表应根据仪表说明书定期清理和维护，标定应满足当地管理部门的要求；</w:t>
      </w:r>
    </w:p>
    <w:p w14:paraId="5587B569">
      <w:pPr>
        <w:pStyle w:val="41"/>
        <w:ind w:left="0" w:leftChars="0" w:firstLine="0" w:firstLineChars="0"/>
        <w:rPr>
          <w:rFonts w:hint="eastAsia" w:hAnsi="宋体" w:cs="宋体"/>
          <w:color w:val="auto"/>
          <w:lang w:val="en-US" w:eastAsia="zh-CN"/>
        </w:rPr>
      </w:pPr>
      <w:r>
        <w:rPr>
          <w:rFonts w:hint="eastAsia" w:hAnsi="宋体" w:cs="宋体"/>
          <w:color w:val="auto"/>
          <w:lang w:val="en-US" w:eastAsia="zh-CN"/>
        </w:rPr>
        <w:t>9.3.5 设施运行管理应符合以下要求：</w:t>
      </w:r>
    </w:p>
    <w:p w14:paraId="4AEABC65">
      <w:pPr>
        <w:pStyle w:val="41"/>
        <w:numPr>
          <w:ilvl w:val="0"/>
          <w:numId w:val="67"/>
        </w:numPr>
        <w:tabs>
          <w:tab w:val="center" w:pos="4201"/>
          <w:tab w:val="right" w:leader="dot" w:pos="9298"/>
        </w:tabs>
        <w:ind w:left="726" w:leftChars="0" w:hanging="306"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智能分流井、调蓄池和泵站的监控宜纳入智慧排水系统，进行统一调度、统一指挥。</w:t>
      </w:r>
    </w:p>
    <w:p w14:paraId="303508CF">
      <w:pPr>
        <w:pStyle w:val="41"/>
        <w:numPr>
          <w:ilvl w:val="0"/>
          <w:numId w:val="67"/>
        </w:numPr>
        <w:tabs>
          <w:tab w:val="center" w:pos="4201"/>
          <w:tab w:val="right" w:leader="dot" w:pos="9298"/>
        </w:tabs>
        <w:ind w:left="726" w:leftChars="0" w:hanging="306"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设施的运行应统筹内涝防治、水污染控制和提质增效等方面的要求，合理制定设施控制工艺，实现精细化管理。</w:t>
      </w:r>
    </w:p>
    <w:p w14:paraId="6FF1B15A">
      <w:pPr>
        <w:pStyle w:val="41"/>
        <w:numPr>
          <w:ilvl w:val="0"/>
          <w:numId w:val="67"/>
        </w:numPr>
        <w:tabs>
          <w:tab w:val="center" w:pos="4201"/>
          <w:tab w:val="right" w:leader="dot" w:pos="9298"/>
        </w:tabs>
        <w:ind w:left="726" w:leftChars="0" w:hanging="306"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强降雨前，应按当地的防汛要求，采用就地手动或远程控制对分流井进行应急操作。</w:t>
      </w:r>
    </w:p>
    <w:p w14:paraId="5CEEE987">
      <w:pPr>
        <w:pStyle w:val="41"/>
        <w:numPr>
          <w:ilvl w:val="0"/>
          <w:numId w:val="67"/>
        </w:numPr>
        <w:tabs>
          <w:tab w:val="center" w:pos="4201"/>
          <w:tab w:val="right" w:leader="dot" w:pos="9298"/>
        </w:tabs>
        <w:ind w:left="726" w:leftChars="0" w:hanging="306" w:firstLineChars="0"/>
        <w:rPr>
          <w:rFonts w:hint="default" w:ascii="宋体" w:hAnsi="宋体" w:eastAsia="宋体" w:cs="宋体"/>
          <w:color w:val="auto"/>
          <w:lang w:val="en-US" w:eastAsia="zh-CN"/>
        </w:rPr>
      </w:pPr>
      <w:r>
        <w:rPr>
          <w:rFonts w:hint="eastAsia" w:ascii="宋体" w:hAnsi="宋体" w:eastAsia="宋体" w:cs="宋体"/>
          <w:color w:val="auto"/>
          <w:lang w:val="en-US" w:eastAsia="zh-CN"/>
        </w:rPr>
        <w:t>设施的控制工艺参数经过一个雨季的运行后，应对运行参数进行优化。</w:t>
      </w:r>
    </w:p>
    <w:p w14:paraId="74E7883E">
      <w:pPr>
        <w:pStyle w:val="40"/>
        <w:spacing w:before="156" w:after="156"/>
        <w:rPr>
          <w:color w:val="auto"/>
        </w:rPr>
      </w:pPr>
      <w:r>
        <w:rPr>
          <w:rFonts w:hint="eastAsia"/>
          <w:color w:val="auto"/>
          <w:lang w:val="en-US" w:eastAsia="zh-CN"/>
        </w:rPr>
        <w:t>9</w:t>
      </w:r>
      <w:r>
        <w:rPr>
          <w:rFonts w:hint="eastAsia"/>
          <w:color w:val="auto"/>
        </w:rPr>
        <w:t>.</w:t>
      </w:r>
      <w:r>
        <w:rPr>
          <w:rFonts w:hint="eastAsia"/>
          <w:color w:val="auto"/>
          <w:lang w:val="en-US" w:eastAsia="zh-CN"/>
        </w:rPr>
        <w:t>4</w:t>
      </w:r>
      <w:r>
        <w:rPr>
          <w:rFonts w:hint="eastAsia"/>
          <w:color w:val="auto"/>
        </w:rPr>
        <w:t xml:space="preserve"> </w:t>
      </w:r>
      <w:r>
        <w:rPr>
          <w:rFonts w:hint="eastAsia"/>
          <w:color w:val="auto"/>
          <w:lang w:val="en-US" w:eastAsia="zh-CN"/>
        </w:rPr>
        <w:t>监测设备</w:t>
      </w:r>
      <w:r>
        <w:rPr>
          <w:rFonts w:hint="eastAsia"/>
          <w:color w:val="auto"/>
        </w:rPr>
        <w:t>运维</w:t>
      </w:r>
    </w:p>
    <w:p w14:paraId="62CA35CB">
      <w:pPr>
        <w:pStyle w:val="41"/>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9.4.1 </w:t>
      </w:r>
      <w:r>
        <w:rPr>
          <w:rFonts w:hint="eastAsia" w:hAnsi="宋体" w:cs="宋体"/>
          <w:color w:val="auto"/>
          <w:lang w:val="en-US" w:eastAsia="zh-CN"/>
        </w:rPr>
        <w:t>水质、流量、液位计等监测设备应定期进行检查、维护和校验。仪表应按照相关规定和厂家手册的要求运行维护。</w:t>
      </w:r>
    </w:p>
    <w:p w14:paraId="46E7EA29">
      <w:pPr>
        <w:pStyle w:val="41"/>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9.4.2 对监测设备的在线状态、供电情况、通信信号应进行24小时监控，确保数据采集频率符合设计要求。</w:t>
      </w:r>
    </w:p>
    <w:p w14:paraId="45079BCA">
      <w:pPr>
        <w:pStyle w:val="41"/>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9.4.3 </w:t>
      </w:r>
      <w:r>
        <w:rPr>
          <w:rFonts w:ascii="Segoe UI" w:hAnsi="Segoe UI" w:eastAsia="Segoe UI" w:cs="Segoe UI"/>
          <w:i w:val="0"/>
          <w:iCs w:val="0"/>
          <w:caps w:val="0"/>
          <w:color w:val="auto"/>
          <w:spacing w:val="0"/>
          <w:sz w:val="21"/>
          <w:szCs w:val="21"/>
          <w:shd w:val="clear" w:fill="FFFFFF"/>
        </w:rPr>
        <w:t>每</w:t>
      </w:r>
      <w:r>
        <w:rPr>
          <w:rFonts w:hint="eastAsia" w:ascii="Segoe UI" w:hAnsi="Segoe UI" w:eastAsia="宋体" w:cs="Segoe UI"/>
          <w:i w:val="0"/>
          <w:iCs w:val="0"/>
          <w:caps w:val="0"/>
          <w:color w:val="auto"/>
          <w:spacing w:val="0"/>
          <w:sz w:val="21"/>
          <w:szCs w:val="21"/>
          <w:shd w:val="clear" w:fill="FFFFFF"/>
          <w:lang w:val="en-US" w:eastAsia="zh-CN"/>
        </w:rPr>
        <w:t>两</w:t>
      </w:r>
      <w:r>
        <w:rPr>
          <w:rFonts w:ascii="Segoe UI" w:hAnsi="Segoe UI" w:eastAsia="Segoe UI" w:cs="Segoe UI"/>
          <w:i w:val="0"/>
          <w:iCs w:val="0"/>
          <w:caps w:val="0"/>
          <w:color w:val="auto"/>
          <w:spacing w:val="0"/>
          <w:sz w:val="21"/>
          <w:szCs w:val="21"/>
          <w:shd w:val="clear" w:fill="FFFFFF"/>
        </w:rPr>
        <w:t>周</w:t>
      </w:r>
      <w:r>
        <w:rPr>
          <w:rFonts w:hint="eastAsia" w:ascii="Segoe UI" w:hAnsi="Segoe UI" w:eastAsia="宋体" w:cs="Segoe UI"/>
          <w:i w:val="0"/>
          <w:iCs w:val="0"/>
          <w:caps w:val="0"/>
          <w:color w:val="auto"/>
          <w:spacing w:val="0"/>
          <w:sz w:val="21"/>
          <w:szCs w:val="21"/>
          <w:shd w:val="clear" w:fill="FFFFFF"/>
          <w:lang w:val="en-US" w:eastAsia="zh-CN"/>
        </w:rPr>
        <w:t>应</w:t>
      </w:r>
      <w:r>
        <w:rPr>
          <w:rFonts w:ascii="Segoe UI" w:hAnsi="Segoe UI" w:eastAsia="Segoe UI" w:cs="Segoe UI"/>
          <w:i w:val="0"/>
          <w:iCs w:val="0"/>
          <w:caps w:val="0"/>
          <w:color w:val="auto"/>
          <w:spacing w:val="0"/>
          <w:sz w:val="21"/>
          <w:szCs w:val="21"/>
          <w:shd w:val="clear" w:fill="FFFFFF"/>
        </w:rPr>
        <w:t>至少一次现场巡检，检查设备固定支架、传感器探头污染情况、</w:t>
      </w:r>
      <w:r>
        <w:rPr>
          <w:rFonts w:hint="eastAsia" w:ascii="Segoe UI" w:hAnsi="Segoe UI" w:eastAsia="宋体" w:cs="Segoe UI"/>
          <w:i w:val="0"/>
          <w:iCs w:val="0"/>
          <w:caps w:val="0"/>
          <w:color w:val="auto"/>
          <w:spacing w:val="0"/>
          <w:sz w:val="21"/>
          <w:szCs w:val="21"/>
          <w:shd w:val="clear" w:fill="FFFFFF"/>
          <w:lang w:val="en-US" w:eastAsia="zh-CN"/>
        </w:rPr>
        <w:t>通讯情况和</w:t>
      </w:r>
      <w:r>
        <w:rPr>
          <w:rFonts w:ascii="Segoe UI" w:hAnsi="Segoe UI" w:eastAsia="Segoe UI" w:cs="Segoe UI"/>
          <w:i w:val="0"/>
          <w:iCs w:val="0"/>
          <w:caps w:val="0"/>
          <w:color w:val="auto"/>
          <w:spacing w:val="0"/>
          <w:sz w:val="21"/>
          <w:szCs w:val="21"/>
          <w:shd w:val="clear" w:fill="FFFFFF"/>
        </w:rPr>
        <w:t>电池电量</w:t>
      </w:r>
      <w:r>
        <w:rPr>
          <w:rFonts w:hint="eastAsia" w:ascii="宋体" w:hAnsi="宋体" w:eastAsia="宋体" w:cs="宋体"/>
          <w:color w:val="auto"/>
          <w:lang w:val="en-US" w:eastAsia="zh-CN"/>
        </w:rPr>
        <w:t>。</w:t>
      </w:r>
    </w:p>
    <w:p w14:paraId="449C2C31">
      <w:pPr>
        <w:pStyle w:val="41"/>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9.4.4 </w:t>
      </w:r>
      <w:r>
        <w:rPr>
          <w:rFonts w:ascii="Segoe UI" w:hAnsi="Segoe UI" w:eastAsia="Segoe UI" w:cs="Segoe UI"/>
          <w:i w:val="0"/>
          <w:iCs w:val="0"/>
          <w:caps w:val="0"/>
          <w:color w:val="auto"/>
          <w:spacing w:val="0"/>
          <w:sz w:val="21"/>
          <w:szCs w:val="21"/>
          <w:shd w:val="clear" w:fill="FFFFFF"/>
        </w:rPr>
        <w:t>对</w:t>
      </w:r>
      <w:r>
        <w:rPr>
          <w:rFonts w:hint="eastAsia" w:ascii="Segoe UI" w:hAnsi="Segoe UI" w:eastAsia="宋体" w:cs="Segoe UI"/>
          <w:i w:val="0"/>
          <w:iCs w:val="0"/>
          <w:caps w:val="0"/>
          <w:color w:val="auto"/>
          <w:spacing w:val="0"/>
          <w:sz w:val="21"/>
          <w:szCs w:val="21"/>
          <w:shd w:val="clear" w:fill="FFFFFF"/>
          <w:lang w:val="en-US" w:eastAsia="zh-CN"/>
        </w:rPr>
        <w:t>光学法</w:t>
      </w:r>
      <w:r>
        <w:rPr>
          <w:rFonts w:ascii="Segoe UI" w:hAnsi="Segoe UI" w:eastAsia="Segoe UI" w:cs="Segoe UI"/>
          <w:i w:val="0"/>
          <w:iCs w:val="0"/>
          <w:caps w:val="0"/>
          <w:color w:val="auto"/>
          <w:spacing w:val="0"/>
          <w:sz w:val="21"/>
          <w:szCs w:val="21"/>
          <w:shd w:val="clear" w:fill="FFFFFF"/>
        </w:rPr>
        <w:t>水质传感器</w:t>
      </w:r>
      <w:r>
        <w:rPr>
          <w:rFonts w:hint="eastAsia" w:ascii="Segoe UI" w:hAnsi="Segoe UI" w:eastAsia="宋体" w:cs="Segoe UI"/>
          <w:i w:val="0"/>
          <w:iCs w:val="0"/>
          <w:caps w:val="0"/>
          <w:color w:val="auto"/>
          <w:spacing w:val="0"/>
          <w:sz w:val="21"/>
          <w:szCs w:val="21"/>
          <w:shd w:val="clear" w:fill="FFFFFF"/>
          <w:lang w:val="en-US" w:eastAsia="zh-CN"/>
        </w:rPr>
        <w:t>应</w:t>
      </w:r>
      <w:r>
        <w:rPr>
          <w:rFonts w:ascii="Segoe UI" w:hAnsi="Segoe UI" w:eastAsia="Segoe UI" w:cs="Segoe UI"/>
          <w:i w:val="0"/>
          <w:iCs w:val="0"/>
          <w:caps w:val="0"/>
          <w:color w:val="auto"/>
          <w:spacing w:val="0"/>
          <w:sz w:val="21"/>
          <w:szCs w:val="21"/>
          <w:shd w:val="clear" w:fill="FFFFFF"/>
        </w:rPr>
        <w:t>每月进行一次探头人工清洁，防止生物膜或淤积干扰数据准确性</w:t>
      </w:r>
      <w:r>
        <w:rPr>
          <w:rFonts w:hint="eastAsia" w:ascii="宋体" w:hAnsi="宋体" w:eastAsia="宋体" w:cs="宋体"/>
          <w:color w:val="auto"/>
          <w:lang w:val="en-US" w:eastAsia="zh-CN"/>
        </w:rPr>
        <w:t>，每季度应使用标准溶液或便携式检测仪对水质传感器进行现场比对校准，误差超过±10%时需返厂维修。</w:t>
      </w:r>
    </w:p>
    <w:p w14:paraId="46F9942B">
      <w:pPr>
        <w:pStyle w:val="41"/>
        <w:ind w:left="0" w:leftChars="0" w:firstLine="0" w:firstLineChars="0"/>
        <w:rPr>
          <w:rFonts w:hint="default" w:ascii="Times New Roman" w:eastAsia="宋体" w:cs="Times New Roman"/>
          <w:color w:val="auto"/>
          <w:sz w:val="18"/>
          <w:szCs w:val="18"/>
          <w:lang w:val="en-US" w:eastAsia="zh-CN"/>
        </w:rPr>
      </w:pPr>
      <w:r>
        <w:rPr>
          <w:rFonts w:hint="eastAsia" w:ascii="宋体" w:hAnsi="宋体" w:eastAsia="宋体" w:cs="宋体"/>
          <w:color w:val="auto"/>
          <w:lang w:val="en-US" w:eastAsia="zh-CN"/>
        </w:rPr>
        <w:t xml:space="preserve">9.4.5 </w:t>
      </w:r>
      <w:r>
        <w:rPr>
          <w:rFonts w:hint="eastAsia" w:ascii="Segoe UI" w:hAnsi="Segoe UI" w:eastAsia="宋体" w:cs="Segoe UI"/>
          <w:i w:val="0"/>
          <w:iCs w:val="0"/>
          <w:caps w:val="0"/>
          <w:color w:val="auto"/>
          <w:spacing w:val="0"/>
          <w:sz w:val="21"/>
          <w:szCs w:val="21"/>
          <w:shd w:val="clear" w:fill="FFFFFF"/>
          <w:lang w:val="en-US" w:eastAsia="zh-CN"/>
        </w:rPr>
        <w:t>监测设备各连接线破损后应及时更换。</w:t>
      </w:r>
    </w:p>
    <w:p w14:paraId="22CAB486">
      <w:pPr>
        <w:pStyle w:val="40"/>
        <w:spacing w:before="156" w:after="156"/>
        <w:rPr>
          <w:color w:val="auto"/>
        </w:rPr>
      </w:pPr>
      <w:r>
        <w:rPr>
          <w:rFonts w:hint="eastAsia"/>
          <w:color w:val="auto"/>
          <w:lang w:val="en-US" w:eastAsia="zh-CN"/>
        </w:rPr>
        <w:t>9</w:t>
      </w:r>
      <w:r>
        <w:rPr>
          <w:rFonts w:hint="eastAsia"/>
          <w:color w:val="auto"/>
        </w:rPr>
        <w:t>.</w:t>
      </w:r>
      <w:r>
        <w:rPr>
          <w:rFonts w:hint="eastAsia"/>
          <w:color w:val="auto"/>
          <w:lang w:val="en-US" w:eastAsia="zh-CN"/>
        </w:rPr>
        <w:t>5</w:t>
      </w:r>
      <w:r>
        <w:rPr>
          <w:rFonts w:hint="eastAsia"/>
          <w:color w:val="auto"/>
        </w:rPr>
        <w:t xml:space="preserve"> 智慧排水系统平台维护</w:t>
      </w:r>
    </w:p>
    <w:p w14:paraId="235B14FF">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9.</w:t>
      </w:r>
      <w:r>
        <w:rPr>
          <w:rFonts w:hint="eastAsia" w:hAnsi="宋体" w:cs="宋体"/>
          <w:color w:val="auto"/>
          <w:lang w:val="en-US" w:eastAsia="zh-CN"/>
        </w:rPr>
        <w:t>5</w:t>
      </w:r>
      <w:r>
        <w:rPr>
          <w:rFonts w:hint="eastAsia" w:hAnsi="宋体" w:eastAsia="宋体" w:cs="宋体"/>
          <w:color w:val="auto"/>
          <w:lang w:val="en-US" w:eastAsia="zh-CN"/>
        </w:rPr>
        <w:t>.1 软硬件维护</w:t>
      </w:r>
    </w:p>
    <w:p w14:paraId="296E4288">
      <w:pPr>
        <w:pStyle w:val="41"/>
        <w:numPr>
          <w:ilvl w:val="0"/>
          <w:numId w:val="68"/>
        </w:numPr>
        <w:tabs>
          <w:tab w:val="center" w:pos="4201"/>
          <w:tab w:val="right" w:leader="dot" w:pos="9298"/>
        </w:tabs>
        <w:ind w:left="726" w:leftChars="0" w:hanging="306"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应定期对智慧运维系统中的计算机软件系统、计算机、输入设备、输出设备、数据存贮与备份设备和不间断电源等硬件设备及网络系统进行检查和维护。 </w:t>
      </w:r>
    </w:p>
    <w:p w14:paraId="45CF86BE">
      <w:pPr>
        <w:pStyle w:val="41"/>
        <w:numPr>
          <w:ilvl w:val="0"/>
          <w:numId w:val="68"/>
        </w:numPr>
        <w:tabs>
          <w:tab w:val="center" w:pos="4201"/>
          <w:tab w:val="right" w:leader="dot" w:pos="9298"/>
        </w:tabs>
        <w:ind w:left="726" w:leftChars="0" w:hanging="306"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应保持网络传输设备的健康状况、整体运行状态、各项硬件资源开销状况的正常。</w:t>
      </w:r>
    </w:p>
    <w:p w14:paraId="304562A0">
      <w:pPr>
        <w:pStyle w:val="41"/>
        <w:numPr>
          <w:ilvl w:val="0"/>
          <w:numId w:val="68"/>
        </w:numPr>
        <w:tabs>
          <w:tab w:val="center" w:pos="4201"/>
          <w:tab w:val="right" w:leader="dot" w:pos="9298"/>
        </w:tabs>
        <w:ind w:left="726" w:leftChars="0" w:hanging="306"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应定期开展应用版本升级、日志清理、启动或停止服务或进程、增加或删除用户账号、更新系统或用户密码、建立或终止会话连接、作业提交、软件备份等工作。 </w:t>
      </w:r>
    </w:p>
    <w:p w14:paraId="4DDAF619">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9.</w:t>
      </w:r>
      <w:r>
        <w:rPr>
          <w:rFonts w:hint="eastAsia" w:hAnsi="宋体" w:cs="宋体"/>
          <w:color w:val="auto"/>
          <w:lang w:val="en-US" w:eastAsia="zh-CN"/>
        </w:rPr>
        <w:t>5</w:t>
      </w:r>
      <w:r>
        <w:rPr>
          <w:rFonts w:hint="eastAsia" w:hAnsi="宋体" w:eastAsia="宋体" w:cs="宋体"/>
          <w:color w:val="auto"/>
          <w:lang w:val="en-US" w:eastAsia="zh-CN"/>
        </w:rPr>
        <w:t>.2 数据库维护管理</w:t>
      </w:r>
    </w:p>
    <w:p w14:paraId="2C03B8E3">
      <w:pPr>
        <w:pStyle w:val="41"/>
        <w:numPr>
          <w:ilvl w:val="0"/>
          <w:numId w:val="69"/>
        </w:numPr>
        <w:tabs>
          <w:tab w:val="center" w:pos="4201"/>
          <w:tab w:val="right" w:leader="dot" w:pos="9298"/>
        </w:tabs>
        <w:ind w:left="726" w:leftChars="0" w:hanging="306"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数据库管理人员应定期监测数据库中所存的数据情况并备份，确保数据库数据的安全。 </w:t>
      </w:r>
    </w:p>
    <w:p w14:paraId="7FD7BCCC">
      <w:pPr>
        <w:pStyle w:val="41"/>
        <w:numPr>
          <w:ilvl w:val="0"/>
          <w:numId w:val="69"/>
        </w:numPr>
        <w:tabs>
          <w:tab w:val="center" w:pos="4201"/>
          <w:tab w:val="right" w:leader="dot" w:pos="9298"/>
        </w:tabs>
        <w:ind w:left="726" w:leftChars="0" w:hanging="306"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运维单位应建立数据库数据维护和更新机制，对变更的数据进行实地修测，及时更新数据。</w:t>
      </w:r>
    </w:p>
    <w:p w14:paraId="6FDCDB6E">
      <w:pPr>
        <w:pStyle w:val="41"/>
        <w:numPr>
          <w:ilvl w:val="0"/>
          <w:numId w:val="69"/>
        </w:numPr>
        <w:tabs>
          <w:tab w:val="center" w:pos="4201"/>
          <w:tab w:val="right" w:leader="dot" w:pos="9298"/>
        </w:tabs>
        <w:ind w:left="726" w:leftChars="0" w:hanging="306"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运维单位应保持数据库运行情况、连接、空间使用、日志、日常备份等正常。</w:t>
      </w:r>
    </w:p>
    <w:p w14:paraId="635123F3">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9.</w:t>
      </w:r>
      <w:r>
        <w:rPr>
          <w:rFonts w:hint="eastAsia" w:hAnsi="宋体" w:cs="宋体"/>
          <w:color w:val="auto"/>
          <w:lang w:val="en-US" w:eastAsia="zh-CN"/>
        </w:rPr>
        <w:t>5</w:t>
      </w:r>
      <w:r>
        <w:rPr>
          <w:rFonts w:hint="eastAsia" w:hAnsi="宋体" w:eastAsia="宋体" w:cs="宋体"/>
          <w:color w:val="auto"/>
          <w:lang w:val="en-US" w:eastAsia="zh-CN"/>
        </w:rPr>
        <w:t>.3 应用平台维护管理</w:t>
      </w:r>
    </w:p>
    <w:p w14:paraId="100B3C61">
      <w:pPr>
        <w:pStyle w:val="41"/>
        <w:tabs>
          <w:tab w:val="center" w:pos="4201"/>
          <w:tab w:val="right" w:leader="dot" w:pos="9298"/>
        </w:tabs>
        <w:ind w:left="210" w:leftChars="100" w:firstLine="409" w:firstLineChars="195"/>
        <w:rPr>
          <w:rFonts w:hint="eastAsia" w:hAnsi="宋体" w:cs="宋体"/>
          <w:color w:val="auto"/>
          <w:szCs w:val="21"/>
        </w:rPr>
      </w:pPr>
      <w:r>
        <w:rPr>
          <w:rFonts w:hint="eastAsia" w:hAnsi="宋体" w:cs="宋体"/>
          <w:color w:val="auto"/>
          <w:szCs w:val="21"/>
        </w:rPr>
        <w:t>运维单位应检查应用的请求和反馈响应时间、资源消耗情况、进程状态、服务或端口响应情况、会话内容情况、日志和告警信息、数据库连接情况、存储连接情况、作业执行情况，发现不正常情况应及时维护处理。</w:t>
      </w:r>
    </w:p>
    <w:p w14:paraId="21BEC295">
      <w:pPr>
        <w:pStyle w:val="114"/>
        <w:spacing w:before="312" w:after="312"/>
        <w:ind w:left="0"/>
        <w:jc w:val="left"/>
        <w:rPr>
          <w:rFonts w:hint="eastAsia" w:hAnsi="Times New Roman" w:cs="Times New Roman"/>
          <w:color w:val="auto"/>
          <w:highlight w:val="none"/>
          <w:lang w:val="en-US" w:eastAsia="zh-CN"/>
        </w:rPr>
      </w:pPr>
      <w:bookmarkStart w:id="138" w:name="_Toc179905546"/>
      <w:bookmarkStart w:id="139" w:name="_Toc25303"/>
      <w:bookmarkStart w:id="140" w:name="_Toc182230418"/>
      <w:bookmarkStart w:id="141" w:name="_Toc22180"/>
      <w:r>
        <w:rPr>
          <w:rFonts w:hint="eastAsia" w:hAnsi="Times New Roman" w:cs="Times New Roman"/>
          <w:color w:val="auto"/>
          <w:highlight w:val="none"/>
          <w:lang w:val="en-US" w:eastAsia="zh-CN"/>
        </w:rPr>
        <w:t>标准的实施及评价</w:t>
      </w:r>
      <w:bookmarkEnd w:id="138"/>
      <w:bookmarkEnd w:id="139"/>
      <w:bookmarkEnd w:id="140"/>
      <w:bookmarkEnd w:id="141"/>
    </w:p>
    <w:p w14:paraId="184F004A">
      <w:pPr>
        <w:pStyle w:val="233"/>
        <w:keepNext w:val="0"/>
        <w:keepLines w:val="0"/>
        <w:pageBreakBefore w:val="0"/>
        <w:widowControl/>
        <w:kinsoku/>
        <w:wordWrap/>
        <w:overflowPunct/>
        <w:topLinePunct w:val="0"/>
        <w:autoSpaceDE/>
        <w:autoSpaceDN/>
        <w:bidi w:val="0"/>
        <w:adjustRightInd/>
        <w:snapToGrid/>
        <w:ind w:left="0" w:firstLine="0" w:firstLineChars="0"/>
        <w:jc w:val="left"/>
        <w:textAlignment w:val="auto"/>
        <w:outlineLvl w:val="1"/>
        <w:rPr>
          <w:rFonts w:hint="eastAsia" w:hAnsi="Times New Roman" w:cs="Times New Roman"/>
          <w:color w:val="auto"/>
          <w:kern w:val="0"/>
          <w:highlight w:val="none"/>
          <w:lang w:val="en-US" w:eastAsia="zh-CN"/>
        </w:rPr>
      </w:pPr>
      <w:r>
        <w:rPr>
          <w:rFonts w:hint="eastAsia" w:hAnsi="Times New Roman" w:cs="Times New Roman"/>
          <w:color w:val="auto"/>
          <w:kern w:val="0"/>
          <w:highlight w:val="none"/>
          <w:lang w:val="en-US" w:eastAsia="zh-CN"/>
        </w:rPr>
        <w:t>标准实施单位应结合实际，认真做好实施准备，包括实施的方案准备、组织准备、知识准备、手段准备和物质条件准备等。</w:t>
      </w:r>
    </w:p>
    <w:p w14:paraId="3B297056">
      <w:pPr>
        <w:pStyle w:val="233"/>
        <w:keepNext w:val="0"/>
        <w:keepLines w:val="0"/>
        <w:pageBreakBefore w:val="0"/>
        <w:widowControl/>
        <w:kinsoku/>
        <w:wordWrap/>
        <w:overflowPunct/>
        <w:topLinePunct w:val="0"/>
        <w:autoSpaceDE/>
        <w:autoSpaceDN/>
        <w:bidi w:val="0"/>
        <w:adjustRightInd/>
        <w:snapToGrid/>
        <w:ind w:left="0" w:firstLine="0" w:firstLineChars="0"/>
        <w:jc w:val="left"/>
        <w:textAlignment w:val="auto"/>
        <w:outlineLvl w:val="1"/>
        <w:rPr>
          <w:rFonts w:hint="eastAsia" w:hAnsi="Times New Roman" w:cs="Times New Roman"/>
          <w:color w:val="auto"/>
          <w:kern w:val="0"/>
          <w:highlight w:val="none"/>
          <w:lang w:val="en-US" w:eastAsia="zh-CN"/>
        </w:rPr>
      </w:pPr>
      <w:r>
        <w:rPr>
          <w:rFonts w:hint="eastAsia" w:hAnsi="Times New Roman" w:cs="Times New Roman"/>
          <w:color w:val="auto"/>
          <w:kern w:val="0"/>
          <w:highlight w:val="none"/>
          <w:lang w:val="en-US" w:eastAsia="zh-CN"/>
        </w:rPr>
        <w:t>标准实施单位应制定实施方案，明确适用对象和场景、提供实施必备条件和保障(组织、制度、资金、人员和设备仪器等)、推荐方法路径，确定资源要素配置、关键环节和控制点，提出标准实施中的注意事项。</w:t>
      </w:r>
    </w:p>
    <w:p w14:paraId="0F3AB0E5">
      <w:pPr>
        <w:pStyle w:val="233"/>
        <w:keepNext w:val="0"/>
        <w:keepLines w:val="0"/>
        <w:pageBreakBefore w:val="0"/>
        <w:widowControl/>
        <w:kinsoku/>
        <w:wordWrap/>
        <w:overflowPunct/>
        <w:topLinePunct w:val="0"/>
        <w:autoSpaceDE/>
        <w:autoSpaceDN/>
        <w:bidi w:val="0"/>
        <w:adjustRightInd/>
        <w:snapToGrid/>
        <w:ind w:left="0" w:firstLine="0" w:firstLineChars="0"/>
        <w:jc w:val="left"/>
        <w:textAlignment w:val="auto"/>
        <w:outlineLvl w:val="1"/>
        <w:rPr>
          <w:rFonts w:hint="eastAsia" w:hAnsi="Times New Roman" w:cs="Times New Roman"/>
          <w:color w:val="auto"/>
          <w:kern w:val="0"/>
          <w:highlight w:val="none"/>
          <w:lang w:val="en-US" w:eastAsia="zh-CN"/>
        </w:rPr>
      </w:pPr>
      <w:r>
        <w:rPr>
          <w:rFonts w:hint="eastAsia" w:hAnsi="Times New Roman" w:cs="Times New Roman"/>
          <w:color w:val="auto"/>
          <w:kern w:val="0"/>
          <w:highlight w:val="none"/>
          <w:lang w:val="en-US" w:eastAsia="zh-CN"/>
        </w:rPr>
        <w:t>标准实施单位应针对相关方和具体对象/岗位进行宣贯和培训，结合标准要求，落实责任制，做到横向到边，纵向到底。</w:t>
      </w:r>
    </w:p>
    <w:p w14:paraId="084F293E">
      <w:pPr>
        <w:pStyle w:val="233"/>
        <w:keepNext w:val="0"/>
        <w:keepLines w:val="0"/>
        <w:pageBreakBefore w:val="0"/>
        <w:widowControl/>
        <w:kinsoku/>
        <w:wordWrap/>
        <w:overflowPunct/>
        <w:topLinePunct w:val="0"/>
        <w:autoSpaceDE/>
        <w:autoSpaceDN/>
        <w:bidi w:val="0"/>
        <w:adjustRightInd/>
        <w:snapToGrid/>
        <w:ind w:left="0" w:firstLine="0" w:firstLineChars="0"/>
        <w:jc w:val="left"/>
        <w:textAlignment w:val="auto"/>
        <w:outlineLvl w:val="1"/>
        <w:rPr>
          <w:rFonts w:hint="eastAsia" w:hAnsi="Times New Roman" w:cs="Times New Roman"/>
          <w:color w:val="auto"/>
          <w:kern w:val="0"/>
          <w:highlight w:val="none"/>
          <w:lang w:val="en-US" w:eastAsia="zh-CN"/>
        </w:rPr>
      </w:pPr>
      <w:r>
        <w:rPr>
          <w:rFonts w:hint="eastAsia" w:hAnsi="Times New Roman" w:cs="Times New Roman"/>
          <w:color w:val="auto"/>
          <w:kern w:val="0"/>
          <w:highlight w:val="none"/>
          <w:lang w:val="en-US" w:eastAsia="zh-CN"/>
        </w:rPr>
        <w:t>标准实施的重点是支撑湖北省排水系统工程数智清污分流技术的应用，指导排水系统工程数智清污分流技术的运行管理及各相关主管部门开展排水系统工程数智清污分流的设计、实施、运维管理等工作，为排水系统工程数智清污分流工程的建设提供支持。</w:t>
      </w:r>
    </w:p>
    <w:p w14:paraId="59F68860">
      <w:pPr>
        <w:pStyle w:val="233"/>
        <w:keepNext w:val="0"/>
        <w:keepLines w:val="0"/>
        <w:pageBreakBefore w:val="0"/>
        <w:widowControl/>
        <w:kinsoku/>
        <w:wordWrap/>
        <w:overflowPunct/>
        <w:topLinePunct w:val="0"/>
        <w:autoSpaceDE/>
        <w:autoSpaceDN/>
        <w:bidi w:val="0"/>
        <w:adjustRightInd/>
        <w:snapToGrid/>
        <w:ind w:left="0" w:firstLine="0" w:firstLineChars="0"/>
        <w:jc w:val="left"/>
        <w:textAlignment w:val="auto"/>
        <w:outlineLvl w:val="1"/>
        <w:rPr>
          <w:rFonts w:hint="eastAsia" w:hAnsi="Times New Roman" w:cs="Times New Roman"/>
          <w:color w:val="auto"/>
          <w:kern w:val="0"/>
          <w:highlight w:val="none"/>
          <w:lang w:val="en-US" w:eastAsia="zh-CN"/>
        </w:rPr>
      </w:pPr>
      <w:r>
        <w:rPr>
          <w:rFonts w:hint="eastAsia" w:hAnsi="Times New Roman" w:cs="Times New Roman"/>
          <w:color w:val="auto"/>
          <w:kern w:val="0"/>
          <w:highlight w:val="none"/>
          <w:lang w:val="en-US" w:eastAsia="zh-CN"/>
        </w:rPr>
        <w:t>标准实施的检查主要是检查实施方案的落实情况，需要逐条检查实施内容的落实，并记录未实施内容的理由或原因。标准实施检查也要检查标准实施的支持手段和物质条件的落实情况。做好实施验证记录，畅通实施信息采集的方式方法和反馈渠道，定期整理并处理收集到的意见建议。</w:t>
      </w:r>
    </w:p>
    <w:p w14:paraId="28CA0B7B">
      <w:pPr>
        <w:pStyle w:val="233"/>
        <w:keepNext w:val="0"/>
        <w:keepLines w:val="0"/>
        <w:pageBreakBefore w:val="0"/>
        <w:widowControl/>
        <w:kinsoku/>
        <w:wordWrap/>
        <w:overflowPunct/>
        <w:topLinePunct w:val="0"/>
        <w:autoSpaceDE/>
        <w:autoSpaceDN/>
        <w:bidi w:val="0"/>
        <w:adjustRightInd/>
        <w:snapToGrid/>
        <w:ind w:left="0" w:firstLine="0" w:firstLineChars="0"/>
        <w:jc w:val="left"/>
        <w:textAlignment w:val="auto"/>
        <w:outlineLvl w:val="1"/>
        <w:rPr>
          <w:rFonts w:hint="eastAsia" w:hAnsi="Times New Roman" w:cs="Times New Roman"/>
          <w:color w:val="auto"/>
          <w:kern w:val="0"/>
          <w:highlight w:val="none"/>
          <w:lang w:val="en-US" w:eastAsia="zh-CN"/>
        </w:rPr>
      </w:pPr>
      <w:r>
        <w:rPr>
          <w:rFonts w:hint="eastAsia" w:hAnsi="Times New Roman" w:cs="Times New Roman"/>
          <w:color w:val="auto"/>
          <w:kern w:val="0"/>
          <w:highlight w:val="none"/>
          <w:lang w:val="en-US" w:eastAsia="zh-CN"/>
        </w:rPr>
        <w:t>对标准实施评价的基本依据是《中华人民共和国标准化法》等。</w:t>
      </w:r>
    </w:p>
    <w:p w14:paraId="26D666A1">
      <w:pPr>
        <w:pStyle w:val="233"/>
        <w:keepNext w:val="0"/>
        <w:keepLines w:val="0"/>
        <w:pageBreakBefore w:val="0"/>
        <w:widowControl/>
        <w:kinsoku/>
        <w:wordWrap/>
        <w:overflowPunct/>
        <w:topLinePunct w:val="0"/>
        <w:autoSpaceDE/>
        <w:autoSpaceDN/>
        <w:bidi w:val="0"/>
        <w:adjustRightInd/>
        <w:snapToGrid/>
        <w:ind w:left="0" w:firstLine="0" w:firstLineChars="0"/>
        <w:jc w:val="left"/>
        <w:textAlignment w:val="auto"/>
        <w:outlineLvl w:val="1"/>
        <w:rPr>
          <w:rFonts w:hint="eastAsia" w:hAnsi="Times New Roman" w:cs="Times New Roman"/>
          <w:color w:val="auto"/>
          <w:kern w:val="0"/>
          <w:highlight w:val="none"/>
          <w:lang w:val="en-US" w:eastAsia="zh-CN"/>
        </w:rPr>
      </w:pPr>
      <w:r>
        <w:rPr>
          <w:rFonts w:hint="eastAsia" w:hAnsi="Times New Roman" w:cs="Times New Roman"/>
          <w:color w:val="auto"/>
          <w:kern w:val="0"/>
          <w:highlight w:val="none"/>
          <w:lang w:val="en-US" w:eastAsia="zh-CN"/>
        </w:rPr>
        <w:t>在标准实施一定时间后，实施单位应对照实施方案，开展实施效果评价分析，总结实施经验成效，梳理存在的薄弱环节。标准实施的评价主要是评价标准实施的效果，主要从技术进步、质量水平提高、客户满意度、规范秩序、效率提高、节约费用、节省时间、履行社会责任等方面进行有益性评价，同时还要评价标准实施带来的问题，以便为未来改进提供参考。</w:t>
      </w:r>
    </w:p>
    <w:p w14:paraId="55F96A5A">
      <w:pPr>
        <w:pStyle w:val="233"/>
        <w:keepNext w:val="0"/>
        <w:keepLines w:val="0"/>
        <w:pageBreakBefore w:val="0"/>
        <w:widowControl/>
        <w:kinsoku/>
        <w:wordWrap/>
        <w:overflowPunct/>
        <w:topLinePunct w:val="0"/>
        <w:autoSpaceDE/>
        <w:autoSpaceDN/>
        <w:bidi w:val="0"/>
        <w:adjustRightInd/>
        <w:snapToGrid/>
        <w:ind w:left="0" w:firstLine="0" w:firstLineChars="0"/>
        <w:jc w:val="left"/>
        <w:textAlignment w:val="auto"/>
        <w:outlineLvl w:val="1"/>
        <w:rPr>
          <w:rFonts w:hint="eastAsia" w:hAnsi="Times New Roman" w:cs="Times New Roman"/>
          <w:color w:val="auto"/>
          <w:kern w:val="0"/>
          <w:highlight w:val="none"/>
          <w:lang w:val="en-US" w:eastAsia="zh-CN"/>
        </w:rPr>
      </w:pPr>
      <w:r>
        <w:rPr>
          <w:rFonts w:hint="eastAsia" w:hAnsi="Times New Roman" w:cs="Times New Roman"/>
          <w:color w:val="auto"/>
          <w:kern w:val="0"/>
          <w:highlight w:val="none"/>
          <w:lang w:val="en-US" w:eastAsia="zh-CN"/>
        </w:rPr>
        <w:t>标准实施单位应适时向专业标准化技术委员会和标准归口管理单位反馈情况，提出标准推广、修改、补充完善或者废止等意见建议。标准实施信息及意见反馈表相关示例见附录</w:t>
      </w:r>
      <w:r>
        <w:rPr>
          <w:rFonts w:hint="eastAsia" w:cs="Times New Roman"/>
          <w:color w:val="auto"/>
          <w:kern w:val="0"/>
          <w:highlight w:val="none"/>
          <w:lang w:val="en-US" w:eastAsia="zh-CN"/>
        </w:rPr>
        <w:t>B</w:t>
      </w:r>
      <w:r>
        <w:rPr>
          <w:rFonts w:hint="eastAsia" w:hAnsi="Times New Roman" w:cs="Times New Roman"/>
          <w:color w:val="auto"/>
          <w:kern w:val="0"/>
          <w:highlight w:val="none"/>
          <w:lang w:val="en-US" w:eastAsia="zh-CN"/>
        </w:rPr>
        <w:t>。</w:t>
      </w:r>
    </w:p>
    <w:p w14:paraId="25E5850D">
      <w:pPr>
        <w:pStyle w:val="41"/>
        <w:tabs>
          <w:tab w:val="center" w:pos="4201"/>
          <w:tab w:val="right" w:leader="dot" w:pos="9298"/>
        </w:tabs>
        <w:ind w:left="210" w:leftChars="100" w:firstLine="409" w:firstLineChars="195"/>
        <w:rPr>
          <w:rFonts w:hint="eastAsia" w:hAnsi="宋体" w:cs="宋体"/>
          <w:color w:val="auto"/>
          <w:szCs w:val="21"/>
        </w:rPr>
      </w:pPr>
    </w:p>
    <w:bookmarkEnd w:id="130"/>
    <w:p w14:paraId="4E5C49D5">
      <w:pPr>
        <w:pStyle w:val="30"/>
        <w:spacing w:line="360" w:lineRule="auto"/>
        <w:ind w:firstLine="0" w:firstLineChars="0"/>
        <w:rPr>
          <w:color w:val="auto"/>
        </w:rPr>
      </w:pPr>
    </w:p>
    <w:p w14:paraId="1E7AA2FD">
      <w:pPr>
        <w:rPr>
          <w:color w:val="auto"/>
        </w:rPr>
      </w:pPr>
    </w:p>
    <w:p w14:paraId="168E698E">
      <w:pPr>
        <w:rPr>
          <w:rFonts w:hint="eastAsia"/>
          <w:color w:val="auto"/>
          <w:lang w:val="en-US" w:eastAsia="zh-CN"/>
        </w:rPr>
      </w:pPr>
      <w:bookmarkStart w:id="142" w:name="_Toc6707"/>
      <w:r>
        <w:rPr>
          <w:color w:val="auto"/>
        </w:rPr>
        <w:br w:type="page"/>
      </w:r>
    </w:p>
    <w:p w14:paraId="15AC852E">
      <w:pPr>
        <w:pStyle w:val="86"/>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color w:val="auto"/>
          <w:lang w:val="en-US" w:eastAsia="zh-CN"/>
        </w:rPr>
      </w:pPr>
      <w:bookmarkStart w:id="143" w:name="_Toc29787"/>
      <w:r>
        <w:rPr>
          <w:color w:val="auto"/>
        </w:rPr>
        <w:br w:type="textWrapping"/>
      </w:r>
      <w:bookmarkStart w:id="144" w:name="_Ref151450230"/>
      <w:bookmarkStart w:id="145" w:name="_Ref139890992"/>
      <w:bookmarkStart w:id="146" w:name="_Ref138941979"/>
      <w:bookmarkStart w:id="147" w:name="_Toc182230419"/>
      <w:r>
        <w:rPr>
          <w:rFonts w:hint="eastAsia"/>
          <w:color w:val="auto"/>
        </w:rPr>
        <w:t>（资料性）</w:t>
      </w:r>
      <w:r>
        <w:rPr>
          <w:color w:val="auto"/>
        </w:rPr>
        <w:br w:type="textWrapping"/>
      </w:r>
      <w:bookmarkEnd w:id="144"/>
      <w:bookmarkEnd w:id="145"/>
      <w:bookmarkEnd w:id="146"/>
      <w:bookmarkEnd w:id="147"/>
      <w:r>
        <w:rPr>
          <w:rFonts w:hint="eastAsia"/>
          <w:color w:val="auto"/>
          <w:lang w:val="en-US" w:eastAsia="zh-CN"/>
        </w:rPr>
        <w:t>排水管网监测指标</w:t>
      </w:r>
      <w:bookmarkEnd w:id="142"/>
      <w:bookmarkEnd w:id="143"/>
    </w:p>
    <w:p w14:paraId="7518A7C1">
      <w:pPr>
        <w:pStyle w:val="221"/>
        <w:numPr>
          <w:ilvl w:val="1"/>
          <w:numId w:val="0"/>
        </w:numPr>
        <w:ind w:leftChars="200" w:firstLine="420" w:firstLineChars="200"/>
        <w:rPr>
          <w:rFonts w:hint="default" w:hAnsi="宋体" w:cs="Times New Roman"/>
          <w:color w:val="auto"/>
          <w:lang w:val="en-US" w:eastAsia="zh-CN"/>
        </w:rPr>
      </w:pPr>
      <w:r>
        <w:rPr>
          <w:rFonts w:hint="eastAsia" w:hAnsi="宋体" w:cs="Times New Roman"/>
          <w:color w:val="auto"/>
          <w:lang w:val="en-US" w:eastAsia="zh-CN"/>
        </w:rPr>
        <w:t>排水管网监测指标的主要监测参数应满足表A.1的要求。</w:t>
      </w:r>
    </w:p>
    <w:p w14:paraId="351B77AA">
      <w:pPr>
        <w:pStyle w:val="66"/>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3"/>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表A.1 </w:t>
      </w:r>
      <w:r>
        <w:rPr>
          <w:rFonts w:hint="eastAsia" w:ascii="黑体" w:hAnsi="黑体" w:eastAsia="黑体" w:cs="黑体"/>
          <w:color w:val="auto"/>
          <w:sz w:val="21"/>
          <w:szCs w:val="21"/>
          <w:lang w:val="en-US" w:eastAsia="zh-CN"/>
        </w:rPr>
        <w:t>排水管网监测指标的主要监测参数</w:t>
      </w:r>
    </w:p>
    <w:tbl>
      <w:tblPr>
        <w:tblStyle w:val="32"/>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6611"/>
      </w:tblGrid>
      <w:tr w14:paraId="2BC3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2CBA30F2">
            <w:pPr>
              <w:pStyle w:val="30"/>
              <w:widowControl/>
              <w:spacing w:after="0" w:line="240" w:lineRule="auto"/>
              <w:ind w:left="0" w:leftChars="0" w:firstLine="0" w:firstLineChars="0"/>
              <w:jc w:val="center"/>
              <w:rPr>
                <w:rFonts w:hint="default" w:ascii="宋体" w:hAnsi="宋体"/>
                <w:color w:val="auto"/>
                <w:sz w:val="18"/>
                <w:szCs w:val="18"/>
              </w:rPr>
            </w:pPr>
            <w:r>
              <w:rPr>
                <w:rFonts w:ascii="宋体" w:hAnsi="宋体"/>
                <w:color w:val="auto"/>
                <w:sz w:val="18"/>
                <w:szCs w:val="18"/>
              </w:rPr>
              <w:t>监测指标</w:t>
            </w:r>
          </w:p>
        </w:tc>
        <w:tc>
          <w:tcPr>
            <w:tcW w:w="6611" w:type="dxa"/>
            <w:tcBorders>
              <w:top w:val="single" w:color="auto" w:sz="4" w:space="0"/>
              <w:left w:val="single" w:color="auto" w:sz="4" w:space="0"/>
              <w:bottom w:val="single" w:color="auto" w:sz="4" w:space="0"/>
              <w:right w:val="single" w:color="auto" w:sz="4" w:space="0"/>
            </w:tcBorders>
            <w:shd w:val="clear" w:color="auto" w:fill="auto"/>
            <w:vAlign w:val="center"/>
          </w:tcPr>
          <w:p w14:paraId="2FAD5DE4">
            <w:pPr>
              <w:pStyle w:val="30"/>
              <w:widowControl/>
              <w:spacing w:after="0" w:line="240" w:lineRule="auto"/>
              <w:ind w:left="0" w:leftChars="0" w:firstLine="0" w:firstLineChars="0"/>
              <w:jc w:val="center"/>
              <w:rPr>
                <w:rFonts w:hint="default" w:ascii="宋体" w:hAnsi="宋体"/>
                <w:color w:val="auto"/>
                <w:sz w:val="18"/>
                <w:szCs w:val="18"/>
              </w:rPr>
            </w:pPr>
            <w:r>
              <w:rPr>
                <w:rFonts w:ascii="宋体" w:hAnsi="宋体"/>
                <w:color w:val="auto"/>
                <w:sz w:val="18"/>
                <w:szCs w:val="18"/>
              </w:rPr>
              <w:t>监测设备技术要求</w:t>
            </w:r>
          </w:p>
        </w:tc>
      </w:tr>
      <w:tr w14:paraId="79E94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0E170496">
            <w:pPr>
              <w:pStyle w:val="30"/>
              <w:widowControl/>
              <w:spacing w:after="0" w:line="240" w:lineRule="auto"/>
              <w:ind w:left="0" w:leftChars="0" w:firstLine="0" w:firstLineChars="0"/>
              <w:jc w:val="center"/>
              <w:rPr>
                <w:rFonts w:hint="default" w:ascii="宋体" w:hAnsi="宋体"/>
                <w:color w:val="auto"/>
                <w:sz w:val="18"/>
                <w:szCs w:val="18"/>
              </w:rPr>
            </w:pPr>
            <w:r>
              <w:rPr>
                <w:rFonts w:ascii="宋体" w:hAnsi="宋体"/>
                <w:color w:val="auto"/>
                <w:sz w:val="18"/>
                <w:szCs w:val="18"/>
              </w:rPr>
              <w:t>雨量</w:t>
            </w:r>
          </w:p>
        </w:tc>
        <w:tc>
          <w:tcPr>
            <w:tcW w:w="6611" w:type="dxa"/>
            <w:tcBorders>
              <w:top w:val="single" w:color="auto" w:sz="4" w:space="0"/>
              <w:left w:val="single" w:color="auto" w:sz="4" w:space="0"/>
              <w:bottom w:val="single" w:color="auto" w:sz="4" w:space="0"/>
              <w:right w:val="single" w:color="auto" w:sz="4" w:space="0"/>
            </w:tcBorders>
            <w:shd w:val="clear" w:color="auto" w:fill="auto"/>
            <w:vAlign w:val="center"/>
          </w:tcPr>
          <w:p w14:paraId="7B103C0F">
            <w:pPr>
              <w:pStyle w:val="30"/>
              <w:widowControl/>
              <w:spacing w:after="0" w:line="240" w:lineRule="auto"/>
              <w:ind w:left="0" w:leftChars="0" w:firstLine="0" w:firstLineChars="0"/>
              <w:rPr>
                <w:rFonts w:hint="default" w:ascii="宋体" w:hAnsi="宋体"/>
                <w:color w:val="auto"/>
                <w:sz w:val="18"/>
                <w:szCs w:val="18"/>
              </w:rPr>
            </w:pPr>
            <w:r>
              <w:rPr>
                <w:rFonts w:hint="eastAsia" w:ascii="宋体" w:hAnsi="宋体"/>
                <w:color w:val="auto"/>
                <w:sz w:val="18"/>
                <w:szCs w:val="18"/>
                <w:lang w:val="en-US" w:eastAsia="zh-CN"/>
              </w:rPr>
              <w:t>测量方法</w:t>
            </w:r>
            <w:r>
              <w:rPr>
                <w:rFonts w:ascii="宋体" w:hAnsi="宋体"/>
                <w:color w:val="auto"/>
                <w:sz w:val="18"/>
                <w:szCs w:val="18"/>
              </w:rPr>
              <w:t>：</w:t>
            </w:r>
            <w:r>
              <w:rPr>
                <w:rFonts w:hint="eastAsia" w:ascii="宋体" w:hAnsi="宋体"/>
                <w:color w:val="auto"/>
                <w:sz w:val="18"/>
                <w:szCs w:val="18"/>
                <w:lang w:val="en-US" w:eastAsia="zh-CN"/>
              </w:rPr>
              <w:t>翻斗式测雨量</w:t>
            </w:r>
            <w:r>
              <w:rPr>
                <w:rFonts w:ascii="宋体" w:hAnsi="宋体"/>
                <w:color w:val="auto"/>
                <w:sz w:val="18"/>
                <w:szCs w:val="18"/>
              </w:rPr>
              <w:t>；</w:t>
            </w:r>
          </w:p>
          <w:p w14:paraId="4E4139BC">
            <w:pPr>
              <w:pStyle w:val="30"/>
              <w:widowControl/>
              <w:spacing w:after="0" w:line="240" w:lineRule="auto"/>
              <w:ind w:left="0" w:leftChars="0" w:firstLine="0" w:firstLineChars="0"/>
              <w:rPr>
                <w:rFonts w:hint="default" w:ascii="宋体" w:hAnsi="宋体"/>
                <w:color w:val="auto"/>
                <w:sz w:val="18"/>
                <w:szCs w:val="18"/>
              </w:rPr>
            </w:pPr>
            <w:r>
              <w:rPr>
                <w:rFonts w:ascii="宋体" w:hAnsi="宋体"/>
                <w:color w:val="auto"/>
                <w:sz w:val="18"/>
                <w:szCs w:val="18"/>
              </w:rPr>
              <w:t>量程：0.01mm/min ～4mm/min  (允许通过最大雨强8mm/min)；</w:t>
            </w:r>
          </w:p>
          <w:p w14:paraId="2D021815">
            <w:pPr>
              <w:pStyle w:val="30"/>
              <w:widowControl/>
              <w:spacing w:after="0" w:line="240" w:lineRule="auto"/>
              <w:ind w:left="0" w:leftChars="0" w:firstLine="0" w:firstLineChars="0"/>
              <w:rPr>
                <w:rFonts w:hint="default" w:ascii="宋体" w:hAnsi="宋体"/>
                <w:color w:val="auto"/>
                <w:sz w:val="18"/>
                <w:szCs w:val="18"/>
              </w:rPr>
            </w:pPr>
            <w:r>
              <w:rPr>
                <w:rFonts w:hint="eastAsia" w:ascii="宋体" w:hAnsi="宋体"/>
                <w:color w:val="auto"/>
                <w:sz w:val="18"/>
                <w:szCs w:val="18"/>
                <w:lang w:val="en-US" w:eastAsia="zh-CN"/>
              </w:rPr>
              <w:t>测量</w:t>
            </w:r>
            <w:r>
              <w:rPr>
                <w:rFonts w:ascii="宋体" w:hAnsi="宋体"/>
                <w:color w:val="auto"/>
                <w:sz w:val="18"/>
                <w:szCs w:val="18"/>
              </w:rPr>
              <w:t>精度：±0.</w:t>
            </w:r>
            <w:r>
              <w:rPr>
                <w:rFonts w:hint="eastAsia" w:ascii="宋体" w:hAnsi="宋体"/>
                <w:color w:val="auto"/>
                <w:sz w:val="18"/>
                <w:szCs w:val="18"/>
                <w:lang w:val="en-US" w:eastAsia="zh-CN"/>
              </w:rPr>
              <w:t>1</w:t>
            </w:r>
            <w:r>
              <w:rPr>
                <w:rFonts w:ascii="宋体" w:hAnsi="宋体"/>
                <w:color w:val="auto"/>
                <w:sz w:val="18"/>
                <w:szCs w:val="18"/>
              </w:rPr>
              <w:t>mm；</w:t>
            </w:r>
          </w:p>
          <w:p w14:paraId="37C0EB40">
            <w:pPr>
              <w:pStyle w:val="30"/>
              <w:widowControl/>
              <w:spacing w:after="0" w:line="240" w:lineRule="auto"/>
              <w:ind w:left="0" w:leftChars="0" w:firstLine="0" w:firstLineChars="0"/>
              <w:rPr>
                <w:rFonts w:hint="default" w:ascii="宋体" w:hAnsi="宋体"/>
                <w:color w:val="auto"/>
                <w:sz w:val="18"/>
                <w:szCs w:val="18"/>
              </w:rPr>
            </w:pPr>
            <w:r>
              <w:rPr>
                <w:rFonts w:ascii="宋体" w:hAnsi="宋体"/>
                <w:color w:val="auto"/>
                <w:sz w:val="18"/>
                <w:szCs w:val="18"/>
              </w:rPr>
              <w:t>防护等级：IP67。</w:t>
            </w:r>
          </w:p>
        </w:tc>
      </w:tr>
      <w:tr w14:paraId="28EB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685C6A8B">
            <w:pPr>
              <w:pStyle w:val="30"/>
              <w:widowControl/>
              <w:spacing w:after="0" w:line="240" w:lineRule="auto"/>
              <w:ind w:left="0" w:leftChars="0" w:firstLine="0" w:firstLineChars="0"/>
              <w:jc w:val="center"/>
              <w:rPr>
                <w:rFonts w:hint="default" w:ascii="宋体" w:hAnsi="宋体"/>
                <w:color w:val="auto"/>
                <w:sz w:val="18"/>
                <w:szCs w:val="18"/>
              </w:rPr>
            </w:pPr>
            <w:r>
              <w:rPr>
                <w:rFonts w:ascii="宋体" w:hAnsi="宋体"/>
                <w:color w:val="auto"/>
                <w:sz w:val="18"/>
                <w:szCs w:val="18"/>
              </w:rPr>
              <w:t>液位</w:t>
            </w:r>
          </w:p>
        </w:tc>
        <w:tc>
          <w:tcPr>
            <w:tcW w:w="6611" w:type="dxa"/>
            <w:tcBorders>
              <w:top w:val="single" w:color="auto" w:sz="4" w:space="0"/>
              <w:left w:val="single" w:color="auto" w:sz="4" w:space="0"/>
              <w:bottom w:val="single" w:color="auto" w:sz="4" w:space="0"/>
              <w:right w:val="single" w:color="auto" w:sz="4" w:space="0"/>
            </w:tcBorders>
            <w:shd w:val="clear" w:color="auto" w:fill="auto"/>
            <w:vAlign w:val="center"/>
          </w:tcPr>
          <w:p w14:paraId="43B9349F">
            <w:pPr>
              <w:pStyle w:val="30"/>
              <w:widowControl/>
              <w:spacing w:after="0" w:line="240" w:lineRule="auto"/>
              <w:ind w:left="0" w:leftChars="0" w:firstLine="0" w:firstLineChars="0"/>
              <w:rPr>
                <w:rFonts w:hint="default" w:ascii="宋体" w:hAnsi="宋体"/>
                <w:color w:val="auto"/>
                <w:sz w:val="18"/>
                <w:szCs w:val="18"/>
              </w:rPr>
            </w:pPr>
            <w:r>
              <w:rPr>
                <w:rFonts w:hint="eastAsia" w:ascii="宋体" w:hAnsi="宋体"/>
                <w:color w:val="auto"/>
                <w:sz w:val="18"/>
                <w:szCs w:val="18"/>
                <w:lang w:val="en-US" w:eastAsia="zh-CN"/>
              </w:rPr>
              <w:t>测量方法</w:t>
            </w:r>
            <w:r>
              <w:rPr>
                <w:rFonts w:ascii="宋体" w:hAnsi="宋体"/>
                <w:color w:val="auto"/>
                <w:sz w:val="18"/>
                <w:szCs w:val="18"/>
              </w:rPr>
              <w:t>：</w:t>
            </w:r>
            <w:r>
              <w:rPr>
                <w:rFonts w:hint="eastAsia" w:ascii="宋体" w:hAnsi="宋体"/>
                <w:color w:val="auto"/>
                <w:sz w:val="18"/>
                <w:szCs w:val="18"/>
                <w:lang w:val="en-US" w:eastAsia="zh-CN"/>
              </w:rPr>
              <w:t>雷达测液位</w:t>
            </w:r>
            <w:r>
              <w:rPr>
                <w:rFonts w:ascii="宋体" w:hAnsi="宋体"/>
                <w:color w:val="auto"/>
                <w:sz w:val="18"/>
                <w:szCs w:val="18"/>
              </w:rPr>
              <w:t>；</w:t>
            </w:r>
          </w:p>
          <w:p w14:paraId="2B30DEE0">
            <w:pPr>
              <w:pStyle w:val="30"/>
              <w:widowControl/>
              <w:spacing w:after="0" w:line="240" w:lineRule="auto"/>
              <w:ind w:left="0" w:leftChars="0" w:firstLine="0" w:firstLineChars="0"/>
              <w:rPr>
                <w:rFonts w:hint="default" w:ascii="宋体" w:hAnsi="宋体"/>
                <w:color w:val="auto"/>
                <w:sz w:val="18"/>
                <w:szCs w:val="18"/>
              </w:rPr>
            </w:pPr>
            <w:r>
              <w:rPr>
                <w:rFonts w:ascii="宋体" w:hAnsi="宋体"/>
                <w:color w:val="auto"/>
                <w:sz w:val="18"/>
                <w:szCs w:val="18"/>
              </w:rPr>
              <w:t>量程：0～</w:t>
            </w:r>
            <w:r>
              <w:rPr>
                <w:rFonts w:hint="eastAsia" w:ascii="宋体" w:hAnsi="宋体"/>
                <w:color w:val="auto"/>
                <w:sz w:val="18"/>
                <w:szCs w:val="18"/>
                <w:lang w:val="en-US" w:eastAsia="zh-CN"/>
              </w:rPr>
              <w:t>1</w:t>
            </w:r>
            <w:r>
              <w:rPr>
                <w:rFonts w:ascii="宋体" w:hAnsi="宋体"/>
                <w:color w:val="auto"/>
                <w:sz w:val="18"/>
                <w:szCs w:val="18"/>
              </w:rPr>
              <w:t>0m；</w:t>
            </w:r>
          </w:p>
          <w:p w14:paraId="5806B8B1">
            <w:pPr>
              <w:pStyle w:val="30"/>
              <w:widowControl/>
              <w:spacing w:after="0" w:line="240" w:lineRule="auto"/>
              <w:ind w:left="0" w:leftChars="0" w:firstLine="0" w:firstLineChars="0"/>
              <w:rPr>
                <w:rFonts w:hint="default" w:ascii="宋体" w:hAnsi="宋体"/>
                <w:color w:val="auto"/>
                <w:sz w:val="18"/>
                <w:szCs w:val="18"/>
              </w:rPr>
            </w:pPr>
            <w:r>
              <w:rPr>
                <w:rFonts w:hint="eastAsia" w:ascii="宋体" w:hAnsi="宋体"/>
                <w:color w:val="auto"/>
                <w:sz w:val="18"/>
                <w:szCs w:val="18"/>
              </w:rPr>
              <w:t>测量精度：±</w:t>
            </w:r>
            <w:r>
              <w:rPr>
                <w:rFonts w:hint="eastAsia" w:ascii="宋体" w:hAnsi="宋体"/>
                <w:color w:val="auto"/>
                <w:sz w:val="18"/>
                <w:szCs w:val="18"/>
                <w:lang w:val="en-US" w:eastAsia="zh-CN"/>
              </w:rPr>
              <w:t>1m</w:t>
            </w:r>
            <w:r>
              <w:rPr>
                <w:rFonts w:hint="eastAsia" w:ascii="宋体" w:hAnsi="宋体"/>
                <w:color w:val="auto"/>
                <w:sz w:val="18"/>
                <w:szCs w:val="18"/>
              </w:rPr>
              <w:t>m</w:t>
            </w:r>
            <w:r>
              <w:rPr>
                <w:rFonts w:ascii="宋体" w:hAnsi="宋体"/>
                <w:color w:val="auto"/>
                <w:sz w:val="18"/>
                <w:szCs w:val="18"/>
              </w:rPr>
              <w:t>；</w:t>
            </w:r>
          </w:p>
          <w:p w14:paraId="0D3545C0">
            <w:pPr>
              <w:pStyle w:val="30"/>
              <w:widowControl/>
              <w:spacing w:after="0" w:line="240" w:lineRule="auto"/>
              <w:ind w:left="0" w:leftChars="0" w:firstLine="0" w:firstLineChars="0"/>
              <w:rPr>
                <w:rFonts w:hint="default" w:ascii="宋体" w:hAnsi="宋体"/>
                <w:color w:val="auto"/>
                <w:sz w:val="18"/>
                <w:szCs w:val="18"/>
              </w:rPr>
            </w:pPr>
            <w:r>
              <w:rPr>
                <w:rFonts w:ascii="宋体" w:hAnsi="宋体"/>
                <w:color w:val="auto"/>
                <w:sz w:val="18"/>
                <w:szCs w:val="18"/>
              </w:rPr>
              <w:t>防护等级：IP6</w:t>
            </w:r>
            <w:r>
              <w:rPr>
                <w:rFonts w:hint="eastAsia" w:ascii="宋体" w:hAnsi="宋体"/>
                <w:color w:val="auto"/>
                <w:sz w:val="18"/>
                <w:szCs w:val="18"/>
                <w:lang w:val="en-US" w:eastAsia="zh-CN"/>
              </w:rPr>
              <w:t>8</w:t>
            </w:r>
            <w:r>
              <w:rPr>
                <w:rFonts w:ascii="宋体" w:hAnsi="宋体"/>
                <w:color w:val="auto"/>
                <w:sz w:val="18"/>
                <w:szCs w:val="18"/>
              </w:rPr>
              <w:t>。</w:t>
            </w:r>
          </w:p>
        </w:tc>
      </w:tr>
      <w:tr w14:paraId="5B992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307BC52E">
            <w:pPr>
              <w:pStyle w:val="30"/>
              <w:widowControl/>
              <w:spacing w:after="0" w:line="240" w:lineRule="auto"/>
              <w:ind w:left="0" w:leftChars="0" w:firstLine="0" w:firstLineChars="0"/>
              <w:jc w:val="center"/>
              <w:rPr>
                <w:rFonts w:hint="default" w:ascii="宋体" w:hAnsi="宋体"/>
                <w:color w:val="auto"/>
                <w:sz w:val="18"/>
                <w:szCs w:val="18"/>
              </w:rPr>
            </w:pPr>
            <w:r>
              <w:rPr>
                <w:rFonts w:ascii="宋体" w:hAnsi="宋体"/>
                <w:color w:val="auto"/>
                <w:sz w:val="18"/>
                <w:szCs w:val="18"/>
              </w:rPr>
              <w:t>流量</w:t>
            </w:r>
          </w:p>
        </w:tc>
        <w:tc>
          <w:tcPr>
            <w:tcW w:w="6611" w:type="dxa"/>
            <w:tcBorders>
              <w:top w:val="single" w:color="auto" w:sz="4" w:space="0"/>
              <w:left w:val="single" w:color="auto" w:sz="4" w:space="0"/>
              <w:bottom w:val="single" w:color="auto" w:sz="4" w:space="0"/>
              <w:right w:val="single" w:color="auto" w:sz="4" w:space="0"/>
            </w:tcBorders>
            <w:shd w:val="clear" w:color="auto" w:fill="auto"/>
            <w:vAlign w:val="center"/>
          </w:tcPr>
          <w:p w14:paraId="7AB74291">
            <w:pPr>
              <w:pStyle w:val="30"/>
              <w:widowControl/>
              <w:spacing w:after="0" w:line="240" w:lineRule="auto"/>
              <w:ind w:left="0" w:leftChars="0" w:firstLine="0" w:firstLineChars="0"/>
              <w:rPr>
                <w:rFonts w:hint="default" w:ascii="宋体" w:hAnsi="宋体"/>
                <w:color w:val="auto"/>
                <w:sz w:val="18"/>
                <w:szCs w:val="18"/>
              </w:rPr>
            </w:pPr>
            <w:r>
              <w:rPr>
                <w:rFonts w:hint="eastAsia" w:ascii="宋体" w:hAnsi="宋体"/>
                <w:color w:val="auto"/>
                <w:sz w:val="18"/>
                <w:szCs w:val="18"/>
                <w:lang w:val="en-US" w:eastAsia="zh-CN"/>
              </w:rPr>
              <w:t>测量方法</w:t>
            </w:r>
            <w:r>
              <w:rPr>
                <w:rFonts w:ascii="宋体" w:hAnsi="宋体"/>
                <w:color w:val="auto"/>
                <w:sz w:val="18"/>
                <w:szCs w:val="18"/>
              </w:rPr>
              <w:t>：</w:t>
            </w:r>
            <w:r>
              <w:rPr>
                <w:rFonts w:hint="eastAsia" w:ascii="宋体" w:hAnsi="宋体"/>
                <w:color w:val="auto"/>
                <w:sz w:val="18"/>
                <w:szCs w:val="18"/>
                <w:lang w:val="en-US" w:eastAsia="zh-CN"/>
              </w:rPr>
              <w:t>超声波多普勒测流量</w:t>
            </w:r>
            <w:r>
              <w:rPr>
                <w:rFonts w:ascii="宋体" w:hAnsi="宋体"/>
                <w:color w:val="auto"/>
                <w:sz w:val="18"/>
                <w:szCs w:val="18"/>
              </w:rPr>
              <w:t>；</w:t>
            </w:r>
          </w:p>
          <w:p w14:paraId="56BA034A">
            <w:pPr>
              <w:pStyle w:val="30"/>
              <w:widowControl/>
              <w:spacing w:after="0" w:line="240" w:lineRule="auto"/>
              <w:ind w:left="0" w:leftChars="0" w:firstLine="0" w:firstLineChars="0"/>
              <w:rPr>
                <w:rFonts w:hint="eastAsia" w:ascii="宋体" w:hAnsi="宋体" w:eastAsia="宋体"/>
                <w:color w:val="auto"/>
                <w:sz w:val="18"/>
                <w:szCs w:val="18"/>
                <w:lang w:val="en-US" w:eastAsia="zh-CN"/>
              </w:rPr>
            </w:pPr>
            <w:r>
              <w:rPr>
                <w:rFonts w:ascii="宋体" w:hAnsi="宋体"/>
                <w:color w:val="auto"/>
                <w:sz w:val="18"/>
                <w:szCs w:val="18"/>
              </w:rPr>
              <w:t>量程：</w:t>
            </w:r>
            <w:r>
              <w:rPr>
                <w:rFonts w:hint="eastAsia" w:ascii="宋体" w:hAnsi="宋体"/>
                <w:color w:val="auto"/>
                <w:sz w:val="18"/>
                <w:szCs w:val="18"/>
                <w:lang w:val="en-US" w:eastAsia="zh-CN"/>
              </w:rPr>
              <w:t>0.02</w:t>
            </w:r>
            <w:r>
              <w:rPr>
                <w:rFonts w:ascii="宋体" w:hAnsi="宋体"/>
                <w:color w:val="auto"/>
                <w:sz w:val="18"/>
                <w:szCs w:val="18"/>
              </w:rPr>
              <w:t>～6.0m</w:t>
            </w:r>
            <w:r>
              <w:rPr>
                <w:rFonts w:hint="eastAsia" w:ascii="宋体" w:hAnsi="宋体"/>
                <w:color w:val="auto"/>
                <w:sz w:val="18"/>
                <w:szCs w:val="18"/>
                <w:lang w:val="en-US" w:eastAsia="zh-CN"/>
              </w:rPr>
              <w:t>/</w:t>
            </w:r>
            <w:r>
              <w:rPr>
                <w:rFonts w:ascii="宋体" w:hAnsi="宋体"/>
                <w:color w:val="auto"/>
                <w:sz w:val="18"/>
                <w:szCs w:val="18"/>
              </w:rPr>
              <w:t>s；</w:t>
            </w:r>
          </w:p>
          <w:p w14:paraId="5D771A11">
            <w:pPr>
              <w:pStyle w:val="30"/>
              <w:widowControl/>
              <w:spacing w:after="0" w:line="240" w:lineRule="auto"/>
              <w:ind w:left="0" w:leftChars="0" w:firstLine="0" w:firstLineChars="0"/>
              <w:rPr>
                <w:rFonts w:hint="default" w:ascii="宋体" w:hAnsi="宋体"/>
                <w:color w:val="auto"/>
                <w:sz w:val="18"/>
                <w:szCs w:val="18"/>
              </w:rPr>
            </w:pPr>
            <w:r>
              <w:rPr>
                <w:rFonts w:ascii="宋体" w:hAnsi="宋体"/>
                <w:color w:val="auto"/>
                <w:sz w:val="18"/>
                <w:szCs w:val="18"/>
              </w:rPr>
              <w:t>精度：±1%FS；</w:t>
            </w:r>
          </w:p>
          <w:p w14:paraId="6A3D3ABD">
            <w:pPr>
              <w:pStyle w:val="30"/>
              <w:widowControl/>
              <w:spacing w:after="0" w:line="240" w:lineRule="auto"/>
              <w:ind w:left="0" w:leftChars="0" w:firstLine="0" w:firstLineChars="0"/>
              <w:rPr>
                <w:rFonts w:hint="default" w:ascii="宋体" w:hAnsi="宋体"/>
                <w:color w:val="auto"/>
                <w:sz w:val="18"/>
                <w:szCs w:val="18"/>
              </w:rPr>
            </w:pPr>
            <w:r>
              <w:rPr>
                <w:rFonts w:ascii="宋体" w:hAnsi="宋体"/>
                <w:color w:val="auto"/>
                <w:sz w:val="18"/>
                <w:szCs w:val="18"/>
              </w:rPr>
              <w:t>防护等级：IP6</w:t>
            </w:r>
            <w:r>
              <w:rPr>
                <w:rFonts w:hint="eastAsia" w:ascii="宋体" w:hAnsi="宋体"/>
                <w:color w:val="auto"/>
                <w:sz w:val="18"/>
                <w:szCs w:val="18"/>
                <w:lang w:val="en-US" w:eastAsia="zh-CN"/>
              </w:rPr>
              <w:t>8</w:t>
            </w:r>
            <w:r>
              <w:rPr>
                <w:rFonts w:ascii="宋体" w:hAnsi="宋体"/>
                <w:color w:val="auto"/>
                <w:sz w:val="18"/>
                <w:szCs w:val="18"/>
              </w:rPr>
              <w:t>。</w:t>
            </w:r>
          </w:p>
        </w:tc>
      </w:tr>
      <w:tr w14:paraId="0C38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5A0EEB7B">
            <w:pPr>
              <w:pStyle w:val="30"/>
              <w:widowControl/>
              <w:spacing w:after="0" w:line="240" w:lineRule="auto"/>
              <w:ind w:left="0" w:leftChars="0" w:firstLine="0" w:firstLineChars="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COD</w:t>
            </w:r>
          </w:p>
        </w:tc>
        <w:tc>
          <w:tcPr>
            <w:tcW w:w="6611" w:type="dxa"/>
            <w:tcBorders>
              <w:top w:val="single" w:color="auto" w:sz="4" w:space="0"/>
              <w:left w:val="single" w:color="auto" w:sz="4" w:space="0"/>
              <w:bottom w:val="single" w:color="auto" w:sz="4" w:space="0"/>
              <w:right w:val="single" w:color="auto" w:sz="4" w:space="0"/>
            </w:tcBorders>
            <w:shd w:val="clear" w:color="auto" w:fill="auto"/>
            <w:vAlign w:val="center"/>
          </w:tcPr>
          <w:p w14:paraId="6BA05490">
            <w:pPr>
              <w:pStyle w:val="30"/>
              <w:widowControl/>
              <w:spacing w:after="0" w:line="240" w:lineRule="auto"/>
              <w:ind w:left="0" w:leftChars="0" w:firstLine="0" w:firstLineChars="0"/>
              <w:rPr>
                <w:rFonts w:hint="default" w:ascii="宋体" w:hAnsi="宋体"/>
                <w:color w:val="auto"/>
                <w:sz w:val="18"/>
                <w:szCs w:val="18"/>
              </w:rPr>
            </w:pPr>
            <w:r>
              <w:rPr>
                <w:rFonts w:hint="eastAsia" w:ascii="宋体" w:hAnsi="宋体"/>
                <w:color w:val="auto"/>
                <w:sz w:val="18"/>
                <w:szCs w:val="18"/>
                <w:lang w:val="en-US" w:eastAsia="zh-CN"/>
              </w:rPr>
              <w:t>测量方法</w:t>
            </w:r>
            <w:r>
              <w:rPr>
                <w:rFonts w:ascii="宋体" w:hAnsi="宋体"/>
                <w:color w:val="auto"/>
                <w:sz w:val="18"/>
                <w:szCs w:val="18"/>
              </w:rPr>
              <w:t>：</w:t>
            </w:r>
            <w:r>
              <w:rPr>
                <w:rFonts w:hint="eastAsia" w:ascii="宋体" w:hAnsi="宋体"/>
                <w:color w:val="auto"/>
                <w:sz w:val="18"/>
                <w:szCs w:val="18"/>
                <w:lang w:val="en-US" w:eastAsia="zh-CN"/>
              </w:rPr>
              <w:t>紫外吸收光谱法</w:t>
            </w:r>
            <w:r>
              <w:rPr>
                <w:rFonts w:ascii="宋体" w:hAnsi="宋体"/>
                <w:color w:val="auto"/>
                <w:sz w:val="18"/>
                <w:szCs w:val="18"/>
              </w:rPr>
              <w:t>；</w:t>
            </w:r>
          </w:p>
          <w:p w14:paraId="224D814F">
            <w:pPr>
              <w:pStyle w:val="30"/>
              <w:widowControl/>
              <w:spacing w:after="0" w:line="240" w:lineRule="auto"/>
              <w:ind w:left="0" w:leftChars="0" w:firstLine="0" w:firstLineChars="0"/>
              <w:rPr>
                <w:rFonts w:hint="eastAsia" w:ascii="宋体" w:hAnsi="宋体" w:eastAsia="宋体"/>
                <w:color w:val="auto"/>
                <w:sz w:val="18"/>
                <w:szCs w:val="18"/>
                <w:lang w:eastAsia="zh-CN"/>
              </w:rPr>
            </w:pPr>
            <w:r>
              <w:rPr>
                <w:rFonts w:ascii="宋体" w:hAnsi="宋体"/>
                <w:color w:val="auto"/>
                <w:sz w:val="18"/>
                <w:szCs w:val="18"/>
              </w:rPr>
              <w:t>量程：</w:t>
            </w:r>
            <w:r>
              <w:rPr>
                <w:rFonts w:hint="eastAsia" w:ascii="宋体" w:hAnsi="宋体"/>
                <w:color w:val="auto"/>
                <w:sz w:val="18"/>
                <w:szCs w:val="18"/>
              </w:rPr>
              <w:t>0～500mg/L</w:t>
            </w:r>
            <w:r>
              <w:rPr>
                <w:rFonts w:hint="eastAsia" w:ascii="宋体" w:hAnsi="宋体"/>
                <w:color w:val="auto"/>
                <w:sz w:val="18"/>
                <w:szCs w:val="18"/>
                <w:lang w:eastAsia="zh-CN"/>
              </w:rPr>
              <w:t>；</w:t>
            </w:r>
          </w:p>
          <w:p w14:paraId="621A5F02">
            <w:pPr>
              <w:pStyle w:val="30"/>
              <w:widowControl/>
              <w:spacing w:after="0" w:line="240" w:lineRule="auto"/>
              <w:ind w:left="0" w:leftChars="0" w:firstLine="0" w:firstLineChars="0"/>
              <w:rPr>
                <w:rFonts w:hint="default" w:ascii="宋体" w:hAnsi="宋体"/>
                <w:color w:val="auto"/>
                <w:sz w:val="18"/>
                <w:szCs w:val="18"/>
              </w:rPr>
            </w:pPr>
            <w:r>
              <w:rPr>
                <w:rFonts w:ascii="宋体" w:hAnsi="宋体"/>
                <w:color w:val="auto"/>
                <w:sz w:val="18"/>
                <w:szCs w:val="18"/>
              </w:rPr>
              <w:t>精度：±</w:t>
            </w:r>
            <w:r>
              <w:rPr>
                <w:rFonts w:hint="eastAsia" w:ascii="宋体" w:hAnsi="宋体"/>
                <w:color w:val="auto"/>
                <w:sz w:val="18"/>
                <w:szCs w:val="18"/>
                <w:lang w:val="en-US" w:eastAsia="zh-CN"/>
              </w:rPr>
              <w:t>5</w:t>
            </w:r>
            <w:r>
              <w:rPr>
                <w:rFonts w:ascii="宋体" w:hAnsi="宋体"/>
                <w:color w:val="auto"/>
                <w:sz w:val="18"/>
                <w:szCs w:val="18"/>
              </w:rPr>
              <w:t>%FS；</w:t>
            </w:r>
          </w:p>
          <w:p w14:paraId="24CC8A78">
            <w:pPr>
              <w:pStyle w:val="30"/>
              <w:widowControl/>
              <w:spacing w:after="0" w:line="240" w:lineRule="auto"/>
              <w:ind w:left="0" w:leftChars="0" w:firstLine="0" w:firstLineChars="0"/>
              <w:rPr>
                <w:rFonts w:ascii="宋体" w:hAnsi="宋体"/>
                <w:color w:val="auto"/>
                <w:sz w:val="18"/>
                <w:szCs w:val="18"/>
              </w:rPr>
            </w:pPr>
            <w:r>
              <w:rPr>
                <w:rFonts w:ascii="宋体" w:hAnsi="宋体"/>
                <w:color w:val="auto"/>
                <w:sz w:val="18"/>
                <w:szCs w:val="18"/>
              </w:rPr>
              <w:t>防护等级：IP6</w:t>
            </w:r>
            <w:r>
              <w:rPr>
                <w:rFonts w:hint="eastAsia" w:ascii="宋体" w:hAnsi="宋体"/>
                <w:color w:val="auto"/>
                <w:sz w:val="18"/>
                <w:szCs w:val="18"/>
                <w:lang w:val="en-US" w:eastAsia="zh-CN"/>
              </w:rPr>
              <w:t>8</w:t>
            </w:r>
            <w:r>
              <w:rPr>
                <w:rFonts w:ascii="宋体" w:hAnsi="宋体"/>
                <w:color w:val="auto"/>
                <w:sz w:val="18"/>
                <w:szCs w:val="18"/>
              </w:rPr>
              <w:t>。</w:t>
            </w:r>
          </w:p>
        </w:tc>
      </w:tr>
      <w:tr w14:paraId="509F2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000BA033">
            <w:pPr>
              <w:pStyle w:val="30"/>
              <w:widowControl/>
              <w:spacing w:after="0" w:line="240" w:lineRule="auto"/>
              <w:ind w:left="0" w:leftChars="0" w:firstLine="0" w:firstLineChars="0"/>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电导率</w:t>
            </w:r>
          </w:p>
        </w:tc>
        <w:tc>
          <w:tcPr>
            <w:tcW w:w="6611" w:type="dxa"/>
            <w:tcBorders>
              <w:top w:val="single" w:color="auto" w:sz="4" w:space="0"/>
              <w:left w:val="single" w:color="auto" w:sz="4" w:space="0"/>
              <w:bottom w:val="single" w:color="auto" w:sz="4" w:space="0"/>
              <w:right w:val="single" w:color="auto" w:sz="4" w:space="0"/>
            </w:tcBorders>
            <w:shd w:val="clear" w:color="auto" w:fill="auto"/>
            <w:vAlign w:val="center"/>
          </w:tcPr>
          <w:p w14:paraId="461E4D50">
            <w:pPr>
              <w:pStyle w:val="30"/>
              <w:widowControl/>
              <w:spacing w:after="0" w:line="240" w:lineRule="auto"/>
              <w:ind w:left="0" w:leftChars="0" w:firstLine="0" w:firstLineChars="0"/>
              <w:rPr>
                <w:rFonts w:hint="default" w:ascii="宋体" w:hAnsi="宋体"/>
                <w:color w:val="auto"/>
                <w:sz w:val="18"/>
                <w:szCs w:val="18"/>
              </w:rPr>
            </w:pPr>
            <w:r>
              <w:rPr>
                <w:rFonts w:hint="eastAsia" w:ascii="宋体" w:hAnsi="宋体"/>
                <w:color w:val="auto"/>
                <w:sz w:val="18"/>
                <w:szCs w:val="18"/>
                <w:lang w:val="en-US" w:eastAsia="zh-CN"/>
              </w:rPr>
              <w:t>测量方法</w:t>
            </w:r>
            <w:r>
              <w:rPr>
                <w:rFonts w:ascii="宋体" w:hAnsi="宋体"/>
                <w:color w:val="auto"/>
                <w:sz w:val="18"/>
                <w:szCs w:val="18"/>
              </w:rPr>
              <w:t>：</w:t>
            </w:r>
            <w:r>
              <w:rPr>
                <w:rFonts w:hint="eastAsia" w:ascii="宋体" w:hAnsi="宋体"/>
                <w:color w:val="auto"/>
                <w:sz w:val="18"/>
                <w:szCs w:val="18"/>
                <w:lang w:val="en-US" w:eastAsia="zh-CN"/>
              </w:rPr>
              <w:t>电极法</w:t>
            </w:r>
            <w:r>
              <w:rPr>
                <w:rFonts w:ascii="宋体" w:hAnsi="宋体"/>
                <w:color w:val="auto"/>
                <w:sz w:val="18"/>
                <w:szCs w:val="18"/>
              </w:rPr>
              <w:t>；</w:t>
            </w:r>
          </w:p>
          <w:p w14:paraId="487F3D56">
            <w:pPr>
              <w:pStyle w:val="30"/>
              <w:widowControl/>
              <w:spacing w:after="0" w:line="240" w:lineRule="auto"/>
              <w:ind w:left="0" w:leftChars="0" w:firstLine="0" w:firstLineChars="0"/>
              <w:rPr>
                <w:rFonts w:hint="eastAsia" w:ascii="宋体" w:hAnsi="宋体" w:eastAsia="宋体"/>
                <w:color w:val="auto"/>
                <w:sz w:val="18"/>
                <w:szCs w:val="18"/>
                <w:lang w:eastAsia="zh-CN"/>
              </w:rPr>
            </w:pPr>
            <w:r>
              <w:rPr>
                <w:rFonts w:ascii="宋体" w:hAnsi="宋体"/>
                <w:color w:val="auto"/>
                <w:sz w:val="18"/>
                <w:szCs w:val="18"/>
              </w:rPr>
              <w:t>量程：</w:t>
            </w:r>
            <w:r>
              <w:rPr>
                <w:rFonts w:hint="eastAsia" w:ascii="宋体" w:hAnsi="宋体"/>
                <w:color w:val="auto"/>
                <w:sz w:val="18"/>
                <w:szCs w:val="18"/>
              </w:rPr>
              <w:t>0～200.0mS/cm</w:t>
            </w:r>
            <w:r>
              <w:rPr>
                <w:rFonts w:hint="eastAsia" w:ascii="宋体" w:hAnsi="宋体"/>
                <w:color w:val="auto"/>
                <w:sz w:val="18"/>
                <w:szCs w:val="18"/>
                <w:lang w:eastAsia="zh-CN"/>
              </w:rPr>
              <w:t>；</w:t>
            </w:r>
          </w:p>
          <w:p w14:paraId="66818AC9">
            <w:pPr>
              <w:pStyle w:val="30"/>
              <w:widowControl/>
              <w:spacing w:after="0" w:line="240" w:lineRule="auto"/>
              <w:ind w:left="0" w:leftChars="0" w:firstLine="0" w:firstLineChars="0"/>
              <w:rPr>
                <w:rFonts w:hint="default" w:ascii="宋体" w:hAnsi="宋体"/>
                <w:color w:val="auto"/>
                <w:sz w:val="18"/>
                <w:szCs w:val="18"/>
              </w:rPr>
            </w:pPr>
            <w:r>
              <w:rPr>
                <w:rFonts w:ascii="宋体" w:hAnsi="宋体"/>
                <w:color w:val="auto"/>
                <w:sz w:val="18"/>
                <w:szCs w:val="18"/>
              </w:rPr>
              <w:t>精度：±</w:t>
            </w:r>
            <w:r>
              <w:rPr>
                <w:rFonts w:hint="eastAsia" w:ascii="宋体" w:hAnsi="宋体"/>
                <w:color w:val="auto"/>
                <w:sz w:val="18"/>
                <w:szCs w:val="18"/>
                <w:lang w:val="en-US" w:eastAsia="zh-CN"/>
              </w:rPr>
              <w:t>1.5</w:t>
            </w:r>
            <w:r>
              <w:rPr>
                <w:rFonts w:ascii="宋体" w:hAnsi="宋体"/>
                <w:color w:val="auto"/>
                <w:sz w:val="18"/>
                <w:szCs w:val="18"/>
              </w:rPr>
              <w:t>%FS；</w:t>
            </w:r>
          </w:p>
          <w:p w14:paraId="6E833164">
            <w:pPr>
              <w:pStyle w:val="30"/>
              <w:widowControl/>
              <w:spacing w:after="0" w:line="240" w:lineRule="auto"/>
              <w:ind w:left="0" w:leftChars="0" w:firstLine="0" w:firstLineChars="0"/>
              <w:rPr>
                <w:rFonts w:ascii="宋体" w:hAnsi="宋体"/>
                <w:color w:val="auto"/>
                <w:sz w:val="18"/>
                <w:szCs w:val="18"/>
              </w:rPr>
            </w:pPr>
            <w:r>
              <w:rPr>
                <w:rFonts w:ascii="宋体" w:hAnsi="宋体"/>
                <w:color w:val="auto"/>
                <w:sz w:val="18"/>
                <w:szCs w:val="18"/>
              </w:rPr>
              <w:t>防护等级：IP6</w:t>
            </w:r>
            <w:r>
              <w:rPr>
                <w:rFonts w:hint="eastAsia" w:ascii="宋体" w:hAnsi="宋体"/>
                <w:color w:val="auto"/>
                <w:sz w:val="18"/>
                <w:szCs w:val="18"/>
                <w:lang w:val="en-US" w:eastAsia="zh-CN"/>
              </w:rPr>
              <w:t>8</w:t>
            </w:r>
            <w:r>
              <w:rPr>
                <w:rFonts w:ascii="宋体" w:hAnsi="宋体"/>
                <w:color w:val="auto"/>
                <w:sz w:val="18"/>
                <w:szCs w:val="18"/>
              </w:rPr>
              <w:t>。</w:t>
            </w:r>
          </w:p>
        </w:tc>
      </w:tr>
      <w:tr w14:paraId="2D0F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1A8CEBB3">
            <w:pPr>
              <w:pStyle w:val="30"/>
              <w:widowControl/>
              <w:spacing w:after="0" w:line="240" w:lineRule="auto"/>
              <w:ind w:left="0" w:leftChars="0" w:firstLine="0" w:firstLineChars="0"/>
              <w:jc w:val="center"/>
              <w:rPr>
                <w:rFonts w:ascii="宋体" w:hAnsi="宋体"/>
                <w:color w:val="auto"/>
                <w:sz w:val="18"/>
                <w:szCs w:val="18"/>
              </w:rPr>
            </w:pPr>
            <w:r>
              <w:rPr>
                <w:rFonts w:hint="eastAsia" w:ascii="宋体" w:hAnsi="宋体"/>
                <w:color w:val="auto"/>
                <w:sz w:val="18"/>
                <w:szCs w:val="18"/>
                <w:lang w:val="en-US" w:eastAsia="zh-CN"/>
              </w:rPr>
              <w:t>氨氮</w:t>
            </w:r>
          </w:p>
        </w:tc>
        <w:tc>
          <w:tcPr>
            <w:tcW w:w="6611" w:type="dxa"/>
            <w:tcBorders>
              <w:top w:val="single" w:color="auto" w:sz="4" w:space="0"/>
              <w:left w:val="single" w:color="auto" w:sz="4" w:space="0"/>
              <w:bottom w:val="single" w:color="auto" w:sz="4" w:space="0"/>
              <w:right w:val="single" w:color="auto" w:sz="4" w:space="0"/>
            </w:tcBorders>
            <w:shd w:val="clear" w:color="auto" w:fill="auto"/>
            <w:vAlign w:val="center"/>
          </w:tcPr>
          <w:p w14:paraId="7CF06535">
            <w:pPr>
              <w:pStyle w:val="30"/>
              <w:widowControl/>
              <w:spacing w:after="0" w:line="240" w:lineRule="auto"/>
              <w:ind w:left="0" w:leftChars="0" w:firstLine="0" w:firstLineChars="0"/>
              <w:rPr>
                <w:rFonts w:hint="default" w:ascii="宋体" w:hAnsi="宋体"/>
                <w:color w:val="auto"/>
                <w:sz w:val="18"/>
                <w:szCs w:val="18"/>
              </w:rPr>
            </w:pPr>
            <w:r>
              <w:rPr>
                <w:rFonts w:hint="eastAsia" w:ascii="宋体" w:hAnsi="宋体"/>
                <w:color w:val="auto"/>
                <w:sz w:val="18"/>
                <w:szCs w:val="18"/>
                <w:lang w:val="en-US" w:eastAsia="zh-CN"/>
              </w:rPr>
              <w:t>测量方法</w:t>
            </w:r>
            <w:r>
              <w:rPr>
                <w:rFonts w:ascii="宋体" w:hAnsi="宋体"/>
                <w:color w:val="auto"/>
                <w:sz w:val="18"/>
                <w:szCs w:val="18"/>
              </w:rPr>
              <w:t>：</w:t>
            </w:r>
            <w:r>
              <w:rPr>
                <w:rFonts w:hint="eastAsia" w:ascii="宋体" w:hAnsi="宋体"/>
                <w:color w:val="auto"/>
                <w:sz w:val="18"/>
                <w:szCs w:val="18"/>
                <w:lang w:val="en-US" w:eastAsia="zh-CN"/>
              </w:rPr>
              <w:t>离子选择电极法</w:t>
            </w:r>
            <w:r>
              <w:rPr>
                <w:rFonts w:ascii="宋体" w:hAnsi="宋体"/>
                <w:color w:val="auto"/>
                <w:sz w:val="18"/>
                <w:szCs w:val="18"/>
              </w:rPr>
              <w:t>；</w:t>
            </w:r>
          </w:p>
          <w:p w14:paraId="486C5B58">
            <w:pPr>
              <w:pStyle w:val="30"/>
              <w:widowControl/>
              <w:spacing w:after="0" w:line="240" w:lineRule="auto"/>
              <w:ind w:left="0" w:leftChars="0" w:firstLine="0" w:firstLineChars="0"/>
              <w:rPr>
                <w:rFonts w:hint="eastAsia" w:ascii="宋体" w:hAnsi="宋体" w:eastAsia="宋体"/>
                <w:color w:val="auto"/>
                <w:sz w:val="18"/>
                <w:szCs w:val="18"/>
                <w:lang w:eastAsia="zh-CN"/>
              </w:rPr>
            </w:pPr>
            <w:r>
              <w:rPr>
                <w:rFonts w:ascii="宋体" w:hAnsi="宋体"/>
                <w:color w:val="auto"/>
                <w:sz w:val="18"/>
                <w:szCs w:val="18"/>
              </w:rPr>
              <w:t>量程：</w:t>
            </w:r>
            <w:r>
              <w:rPr>
                <w:rFonts w:hint="eastAsia" w:ascii="宋体" w:hAnsi="宋体"/>
                <w:color w:val="auto"/>
                <w:sz w:val="18"/>
                <w:szCs w:val="18"/>
              </w:rPr>
              <w:t>0.2～100mg/L</w:t>
            </w:r>
            <w:r>
              <w:rPr>
                <w:rFonts w:hint="eastAsia" w:ascii="宋体" w:hAnsi="宋体"/>
                <w:color w:val="auto"/>
                <w:sz w:val="18"/>
                <w:szCs w:val="18"/>
                <w:lang w:eastAsia="zh-CN"/>
              </w:rPr>
              <w:t>；</w:t>
            </w:r>
          </w:p>
          <w:p w14:paraId="50F156A9">
            <w:pPr>
              <w:pStyle w:val="30"/>
              <w:widowControl/>
              <w:spacing w:after="0" w:line="240" w:lineRule="auto"/>
              <w:ind w:left="0" w:leftChars="0" w:firstLine="0" w:firstLineChars="0"/>
              <w:rPr>
                <w:rFonts w:hint="default" w:ascii="宋体" w:hAnsi="宋体"/>
                <w:color w:val="auto"/>
                <w:sz w:val="18"/>
                <w:szCs w:val="18"/>
              </w:rPr>
            </w:pPr>
            <w:r>
              <w:rPr>
                <w:rFonts w:ascii="宋体" w:hAnsi="宋体"/>
                <w:color w:val="auto"/>
                <w:sz w:val="18"/>
                <w:szCs w:val="18"/>
              </w:rPr>
              <w:t>精度：±</w:t>
            </w:r>
            <w:r>
              <w:rPr>
                <w:rFonts w:hint="eastAsia" w:ascii="宋体" w:hAnsi="宋体"/>
                <w:color w:val="auto"/>
                <w:sz w:val="18"/>
                <w:szCs w:val="18"/>
                <w:lang w:val="en-US" w:eastAsia="zh-CN"/>
              </w:rPr>
              <w:t>0.2mg/L</w:t>
            </w:r>
            <w:r>
              <w:rPr>
                <w:rFonts w:ascii="宋体" w:hAnsi="宋体"/>
                <w:color w:val="auto"/>
                <w:sz w:val="18"/>
                <w:szCs w:val="18"/>
              </w:rPr>
              <w:t>；</w:t>
            </w:r>
          </w:p>
          <w:p w14:paraId="676A01CA">
            <w:pPr>
              <w:pStyle w:val="30"/>
              <w:widowControl/>
              <w:spacing w:after="0" w:line="240" w:lineRule="auto"/>
              <w:ind w:left="0" w:leftChars="0" w:firstLine="0" w:firstLineChars="0"/>
              <w:rPr>
                <w:rFonts w:ascii="宋体" w:hAnsi="宋体"/>
                <w:color w:val="auto"/>
                <w:sz w:val="18"/>
                <w:szCs w:val="18"/>
              </w:rPr>
            </w:pPr>
            <w:r>
              <w:rPr>
                <w:rFonts w:ascii="宋体" w:hAnsi="宋体"/>
                <w:color w:val="auto"/>
                <w:sz w:val="18"/>
                <w:szCs w:val="18"/>
              </w:rPr>
              <w:t>防护等级：IP6</w:t>
            </w:r>
            <w:r>
              <w:rPr>
                <w:rFonts w:hint="eastAsia" w:ascii="宋体" w:hAnsi="宋体"/>
                <w:color w:val="auto"/>
                <w:sz w:val="18"/>
                <w:szCs w:val="18"/>
                <w:lang w:val="en-US" w:eastAsia="zh-CN"/>
              </w:rPr>
              <w:t>8</w:t>
            </w:r>
            <w:r>
              <w:rPr>
                <w:rFonts w:ascii="宋体" w:hAnsi="宋体"/>
                <w:color w:val="auto"/>
                <w:sz w:val="18"/>
                <w:szCs w:val="18"/>
              </w:rPr>
              <w:t>。</w:t>
            </w:r>
          </w:p>
        </w:tc>
      </w:tr>
      <w:tr w14:paraId="38CE1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3F353D1D">
            <w:pPr>
              <w:pStyle w:val="30"/>
              <w:widowControl/>
              <w:spacing w:after="0" w:line="240" w:lineRule="auto"/>
              <w:ind w:left="0" w:leftChars="0" w:firstLine="0" w:firstLineChars="0"/>
              <w:jc w:val="center"/>
              <w:rPr>
                <w:rFonts w:hint="default" w:ascii="宋体" w:hAnsi="宋体"/>
                <w:color w:val="auto"/>
                <w:sz w:val="18"/>
                <w:szCs w:val="18"/>
              </w:rPr>
            </w:pPr>
            <w:r>
              <w:rPr>
                <w:rFonts w:ascii="宋体" w:hAnsi="宋体"/>
                <w:color w:val="auto"/>
                <w:sz w:val="18"/>
                <w:szCs w:val="18"/>
              </w:rPr>
              <w:t>井盖位移</w:t>
            </w:r>
          </w:p>
        </w:tc>
        <w:tc>
          <w:tcPr>
            <w:tcW w:w="6611" w:type="dxa"/>
            <w:tcBorders>
              <w:top w:val="single" w:color="auto" w:sz="4" w:space="0"/>
              <w:left w:val="single" w:color="auto" w:sz="4" w:space="0"/>
              <w:bottom w:val="single" w:color="auto" w:sz="4" w:space="0"/>
              <w:right w:val="single" w:color="auto" w:sz="4" w:space="0"/>
            </w:tcBorders>
            <w:shd w:val="clear" w:color="auto" w:fill="auto"/>
            <w:vAlign w:val="center"/>
          </w:tcPr>
          <w:p w14:paraId="3D69DCB8">
            <w:pPr>
              <w:pStyle w:val="30"/>
              <w:widowControl/>
              <w:spacing w:after="0" w:line="240" w:lineRule="auto"/>
              <w:ind w:left="0" w:leftChars="0" w:firstLine="0" w:firstLineChars="0"/>
              <w:rPr>
                <w:rFonts w:hint="default" w:ascii="宋体" w:hAnsi="宋体"/>
                <w:color w:val="auto"/>
                <w:sz w:val="18"/>
                <w:szCs w:val="18"/>
              </w:rPr>
            </w:pPr>
            <w:r>
              <w:rPr>
                <w:rFonts w:ascii="宋体" w:hAnsi="宋体"/>
                <w:color w:val="auto"/>
                <w:sz w:val="18"/>
                <w:szCs w:val="18"/>
              </w:rPr>
              <w:t>电池寿命：大于3年，并可更换；</w:t>
            </w:r>
          </w:p>
          <w:p w14:paraId="778E2BEE">
            <w:pPr>
              <w:pStyle w:val="30"/>
              <w:widowControl/>
              <w:spacing w:after="0" w:line="240" w:lineRule="auto"/>
              <w:ind w:left="0" w:leftChars="0" w:firstLine="0" w:firstLineChars="0"/>
              <w:rPr>
                <w:rFonts w:hint="eastAsia" w:ascii="宋体" w:hAnsi="宋体" w:eastAsia="宋体"/>
                <w:color w:val="auto"/>
                <w:sz w:val="18"/>
                <w:szCs w:val="18"/>
                <w:lang w:eastAsia="zh-CN"/>
              </w:rPr>
            </w:pPr>
            <w:r>
              <w:rPr>
                <w:rFonts w:ascii="宋体" w:hAnsi="宋体"/>
                <w:color w:val="auto"/>
                <w:sz w:val="18"/>
                <w:szCs w:val="18"/>
              </w:rPr>
              <w:t>IP等级：IP6</w:t>
            </w:r>
            <w:r>
              <w:rPr>
                <w:rFonts w:hint="eastAsia" w:ascii="宋体" w:hAnsi="宋体"/>
                <w:color w:val="auto"/>
                <w:sz w:val="18"/>
                <w:szCs w:val="18"/>
                <w:lang w:val="en-US" w:eastAsia="zh-CN"/>
              </w:rPr>
              <w:t>8</w:t>
            </w:r>
            <w:r>
              <w:rPr>
                <w:rFonts w:hint="eastAsia" w:ascii="宋体" w:hAnsi="宋体"/>
                <w:color w:val="auto"/>
                <w:sz w:val="18"/>
                <w:szCs w:val="18"/>
                <w:lang w:eastAsia="zh-CN"/>
              </w:rPr>
              <w:t>；</w:t>
            </w:r>
          </w:p>
          <w:p w14:paraId="02376E3A">
            <w:pPr>
              <w:pStyle w:val="30"/>
              <w:widowControl/>
              <w:spacing w:after="0" w:line="240" w:lineRule="auto"/>
              <w:ind w:left="0" w:leftChars="0" w:firstLine="0" w:firstLineChars="0"/>
              <w:rPr>
                <w:rFonts w:hint="eastAsia" w:ascii="宋体" w:hAnsi="宋体" w:eastAsia="宋体"/>
                <w:color w:val="auto"/>
                <w:sz w:val="18"/>
                <w:szCs w:val="18"/>
                <w:lang w:eastAsia="zh-CN"/>
              </w:rPr>
            </w:pPr>
            <w:r>
              <w:rPr>
                <w:rFonts w:hint="default" w:ascii="宋体" w:hAnsi="宋体"/>
                <w:color w:val="auto"/>
                <w:sz w:val="18"/>
                <w:szCs w:val="18"/>
              </w:rPr>
              <w:t>倾斜告警：当井盖被打开（产生15</w:t>
            </w:r>
            <w:r>
              <w:rPr>
                <w:rFonts w:hint="eastAsia" w:ascii="宋体" w:hAnsi="宋体"/>
                <w:color w:val="auto"/>
                <w:sz w:val="18"/>
                <w:szCs w:val="18"/>
                <w:lang w:val="en-US" w:eastAsia="zh-CN"/>
              </w:rPr>
              <w:t>°</w:t>
            </w:r>
            <w:r>
              <w:rPr>
                <w:rFonts w:hint="default" w:ascii="宋体" w:hAnsi="宋体"/>
                <w:color w:val="auto"/>
                <w:sz w:val="18"/>
                <w:szCs w:val="18"/>
              </w:rPr>
              <w:t>以上倾角）时，终端自动上报倾斜告警</w:t>
            </w:r>
            <w:r>
              <w:rPr>
                <w:rFonts w:hint="eastAsia" w:ascii="宋体" w:hAnsi="宋体"/>
                <w:color w:val="auto"/>
                <w:sz w:val="18"/>
                <w:szCs w:val="18"/>
                <w:lang w:eastAsia="zh-CN"/>
              </w:rPr>
              <w:t>；</w:t>
            </w:r>
          </w:p>
          <w:p w14:paraId="4EB664A4">
            <w:pPr>
              <w:pStyle w:val="30"/>
              <w:widowControl/>
              <w:spacing w:after="0" w:line="240" w:lineRule="auto"/>
              <w:ind w:left="0" w:leftChars="0" w:firstLine="0" w:firstLineChars="0"/>
              <w:rPr>
                <w:rFonts w:hint="eastAsia" w:ascii="宋体" w:hAnsi="宋体" w:eastAsia="宋体"/>
                <w:color w:val="auto"/>
                <w:sz w:val="18"/>
                <w:szCs w:val="18"/>
                <w:lang w:eastAsia="zh-CN"/>
              </w:rPr>
            </w:pPr>
            <w:r>
              <w:rPr>
                <w:rFonts w:hint="default" w:ascii="宋体" w:hAnsi="宋体"/>
                <w:color w:val="auto"/>
                <w:sz w:val="18"/>
                <w:szCs w:val="18"/>
              </w:rPr>
              <w:t>水告警：当井盖浸入水中时，终端自动上报浸水告警</w:t>
            </w:r>
            <w:r>
              <w:rPr>
                <w:rFonts w:hint="eastAsia" w:ascii="宋体" w:hAnsi="宋体"/>
                <w:color w:val="auto"/>
                <w:sz w:val="18"/>
                <w:szCs w:val="18"/>
                <w:lang w:eastAsia="zh-CN"/>
              </w:rPr>
              <w:t>。</w:t>
            </w:r>
          </w:p>
        </w:tc>
      </w:tr>
      <w:tr w14:paraId="5FF4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2AA38CF6">
            <w:pPr>
              <w:pStyle w:val="30"/>
              <w:widowControl/>
              <w:spacing w:after="0" w:line="240" w:lineRule="auto"/>
              <w:ind w:left="0" w:leftChars="0" w:firstLine="0" w:firstLineChars="0"/>
              <w:jc w:val="center"/>
              <w:rPr>
                <w:rFonts w:hint="default" w:ascii="宋体" w:hAnsi="宋体"/>
                <w:color w:val="auto"/>
                <w:sz w:val="18"/>
                <w:szCs w:val="18"/>
              </w:rPr>
            </w:pPr>
            <w:r>
              <w:rPr>
                <w:rFonts w:ascii="宋体" w:hAnsi="宋体"/>
                <w:color w:val="auto"/>
                <w:sz w:val="18"/>
                <w:szCs w:val="18"/>
              </w:rPr>
              <w:t>视频监控</w:t>
            </w:r>
          </w:p>
        </w:tc>
        <w:tc>
          <w:tcPr>
            <w:tcW w:w="6611" w:type="dxa"/>
            <w:tcBorders>
              <w:top w:val="single" w:color="auto" w:sz="4" w:space="0"/>
              <w:left w:val="single" w:color="auto" w:sz="4" w:space="0"/>
              <w:bottom w:val="single" w:color="auto" w:sz="4" w:space="0"/>
              <w:right w:val="single" w:color="auto" w:sz="4" w:space="0"/>
            </w:tcBorders>
            <w:shd w:val="clear" w:color="auto" w:fill="auto"/>
            <w:vAlign w:val="center"/>
          </w:tcPr>
          <w:p w14:paraId="14F7BA37">
            <w:pPr>
              <w:pStyle w:val="30"/>
              <w:widowControl/>
              <w:spacing w:after="0" w:line="240" w:lineRule="auto"/>
              <w:ind w:left="0" w:leftChars="0" w:firstLine="0" w:firstLineChars="0"/>
              <w:rPr>
                <w:rFonts w:hint="default" w:ascii="宋体" w:hAnsi="宋体"/>
                <w:color w:val="auto"/>
                <w:sz w:val="18"/>
                <w:szCs w:val="18"/>
              </w:rPr>
            </w:pPr>
            <w:r>
              <w:rPr>
                <w:rFonts w:ascii="宋体" w:hAnsi="宋体"/>
                <w:color w:val="auto"/>
                <w:sz w:val="18"/>
                <w:szCs w:val="18"/>
              </w:rPr>
              <w:t>分辨率：不小于1，600 TVL；</w:t>
            </w:r>
          </w:p>
          <w:p w14:paraId="5CD2B3A8">
            <w:pPr>
              <w:pStyle w:val="30"/>
              <w:widowControl/>
              <w:spacing w:after="0" w:line="240" w:lineRule="auto"/>
              <w:ind w:left="0" w:leftChars="0" w:firstLine="0" w:firstLineChars="0"/>
              <w:rPr>
                <w:rFonts w:hint="default" w:ascii="宋体" w:hAnsi="宋体"/>
                <w:color w:val="auto"/>
                <w:sz w:val="18"/>
                <w:szCs w:val="18"/>
              </w:rPr>
            </w:pPr>
            <w:r>
              <w:rPr>
                <w:rFonts w:ascii="宋体" w:hAnsi="宋体"/>
                <w:color w:val="auto"/>
                <w:sz w:val="18"/>
                <w:szCs w:val="18"/>
              </w:rPr>
              <w:t>工作温度范围：（-50～70）℃；</w:t>
            </w:r>
          </w:p>
          <w:p w14:paraId="639AC289">
            <w:pPr>
              <w:pStyle w:val="30"/>
              <w:widowControl/>
              <w:spacing w:after="0" w:line="240" w:lineRule="auto"/>
              <w:ind w:left="0" w:leftChars="0" w:firstLine="0" w:firstLineChars="0"/>
              <w:rPr>
                <w:rFonts w:hint="default" w:ascii="宋体" w:hAnsi="宋体"/>
                <w:color w:val="auto"/>
                <w:sz w:val="18"/>
                <w:szCs w:val="18"/>
              </w:rPr>
            </w:pPr>
            <w:r>
              <w:rPr>
                <w:rFonts w:ascii="宋体" w:hAnsi="宋体"/>
                <w:color w:val="auto"/>
                <w:sz w:val="18"/>
                <w:szCs w:val="18"/>
              </w:rPr>
              <w:t>IP等级：IP6</w:t>
            </w:r>
            <w:r>
              <w:rPr>
                <w:rFonts w:hint="eastAsia" w:ascii="宋体" w:hAnsi="宋体"/>
                <w:color w:val="auto"/>
                <w:sz w:val="18"/>
                <w:szCs w:val="18"/>
                <w:lang w:val="en-US" w:eastAsia="zh-CN"/>
              </w:rPr>
              <w:t>6</w:t>
            </w:r>
            <w:r>
              <w:rPr>
                <w:rFonts w:ascii="宋体" w:hAnsi="宋体"/>
                <w:color w:val="auto"/>
                <w:sz w:val="18"/>
                <w:szCs w:val="18"/>
              </w:rPr>
              <w:t>。</w:t>
            </w:r>
          </w:p>
        </w:tc>
      </w:tr>
      <w:tr w14:paraId="7EEE1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4604C682">
            <w:pPr>
              <w:pStyle w:val="30"/>
              <w:widowControl/>
              <w:spacing w:after="0" w:line="240" w:lineRule="auto"/>
              <w:ind w:left="0" w:leftChars="0" w:firstLine="0" w:firstLineChars="0"/>
              <w:jc w:val="center"/>
              <w:rPr>
                <w:rFonts w:hint="default" w:ascii="宋体" w:hAnsi="宋体"/>
                <w:color w:val="auto"/>
                <w:sz w:val="18"/>
                <w:szCs w:val="18"/>
              </w:rPr>
            </w:pPr>
            <w:r>
              <w:rPr>
                <w:rFonts w:hint="eastAsia" w:ascii="宋体" w:hAnsi="宋体"/>
                <w:color w:val="auto"/>
                <w:sz w:val="18"/>
                <w:szCs w:val="18"/>
                <w:lang w:val="en-US" w:eastAsia="zh-CN"/>
              </w:rPr>
              <w:t>有毒有害气体</w:t>
            </w:r>
            <w:r>
              <w:rPr>
                <w:rFonts w:ascii="宋体" w:hAnsi="宋体"/>
                <w:color w:val="auto"/>
                <w:sz w:val="18"/>
                <w:szCs w:val="18"/>
              </w:rPr>
              <w:t>浓度</w:t>
            </w:r>
          </w:p>
        </w:tc>
        <w:tc>
          <w:tcPr>
            <w:tcW w:w="6611" w:type="dxa"/>
            <w:tcBorders>
              <w:top w:val="single" w:color="auto" w:sz="4" w:space="0"/>
              <w:left w:val="single" w:color="auto" w:sz="4" w:space="0"/>
              <w:bottom w:val="single" w:color="auto" w:sz="4" w:space="0"/>
              <w:right w:val="single" w:color="auto" w:sz="4" w:space="0"/>
            </w:tcBorders>
            <w:shd w:val="clear" w:color="auto" w:fill="auto"/>
            <w:vAlign w:val="center"/>
          </w:tcPr>
          <w:p w14:paraId="1F85535E">
            <w:pPr>
              <w:pStyle w:val="30"/>
              <w:widowControl/>
              <w:spacing w:after="0" w:line="240" w:lineRule="auto"/>
              <w:ind w:left="0" w:leftChars="0" w:firstLine="0" w:firstLineChars="0"/>
              <w:rPr>
                <w:rFonts w:hint="default" w:ascii="宋体" w:hAnsi="宋体"/>
                <w:color w:val="auto"/>
                <w:sz w:val="18"/>
                <w:szCs w:val="18"/>
              </w:rPr>
            </w:pPr>
            <w:r>
              <w:rPr>
                <w:rFonts w:ascii="宋体" w:hAnsi="宋体"/>
                <w:color w:val="auto"/>
                <w:sz w:val="18"/>
                <w:szCs w:val="18"/>
              </w:rPr>
              <w:t>量程：（0～20%）VOL</w:t>
            </w:r>
          </w:p>
          <w:p w14:paraId="74F9527D">
            <w:pPr>
              <w:pStyle w:val="30"/>
              <w:widowControl/>
              <w:spacing w:after="0" w:line="240" w:lineRule="auto"/>
              <w:ind w:left="0" w:leftChars="0" w:firstLine="0" w:firstLineChars="0"/>
              <w:rPr>
                <w:rFonts w:hint="default" w:ascii="宋体" w:hAnsi="宋体"/>
                <w:color w:val="auto"/>
                <w:sz w:val="18"/>
                <w:szCs w:val="18"/>
              </w:rPr>
            </w:pPr>
            <w:r>
              <w:rPr>
                <w:rFonts w:ascii="宋体" w:hAnsi="宋体"/>
                <w:color w:val="auto"/>
                <w:sz w:val="18"/>
                <w:szCs w:val="18"/>
              </w:rPr>
              <w:t>精度：±0.1%VOL；</w:t>
            </w:r>
          </w:p>
          <w:p w14:paraId="675BAC58">
            <w:pPr>
              <w:pStyle w:val="30"/>
              <w:widowControl/>
              <w:spacing w:after="0" w:line="240" w:lineRule="auto"/>
              <w:ind w:left="0" w:leftChars="0" w:firstLine="0" w:firstLineChars="0"/>
              <w:rPr>
                <w:rFonts w:hint="default" w:ascii="宋体" w:hAnsi="宋体"/>
                <w:color w:val="auto"/>
                <w:sz w:val="18"/>
                <w:szCs w:val="18"/>
              </w:rPr>
            </w:pPr>
            <w:r>
              <w:rPr>
                <w:rFonts w:ascii="宋体" w:hAnsi="宋体"/>
                <w:color w:val="auto"/>
                <w:sz w:val="18"/>
                <w:szCs w:val="18"/>
              </w:rPr>
              <w:t>工作温度：（-10～60）℃；</w:t>
            </w:r>
          </w:p>
          <w:p w14:paraId="12DBF949">
            <w:pPr>
              <w:pStyle w:val="30"/>
              <w:widowControl/>
              <w:spacing w:after="0" w:line="240" w:lineRule="auto"/>
              <w:ind w:left="0" w:leftChars="0" w:firstLine="0" w:firstLineChars="0"/>
              <w:rPr>
                <w:rFonts w:hint="default" w:ascii="宋体" w:hAnsi="宋体"/>
                <w:color w:val="auto"/>
                <w:sz w:val="18"/>
                <w:szCs w:val="18"/>
              </w:rPr>
            </w:pPr>
            <w:r>
              <w:rPr>
                <w:rFonts w:ascii="宋体" w:hAnsi="宋体"/>
                <w:color w:val="auto"/>
                <w:sz w:val="18"/>
                <w:szCs w:val="18"/>
              </w:rPr>
              <w:t>防爆等级：Ex ib IIB T4 Gb；</w:t>
            </w:r>
          </w:p>
          <w:p w14:paraId="423CB08E">
            <w:pPr>
              <w:pStyle w:val="30"/>
              <w:widowControl/>
              <w:spacing w:after="0" w:line="240" w:lineRule="auto"/>
              <w:ind w:left="0" w:leftChars="0" w:firstLine="0" w:firstLineChars="0"/>
              <w:rPr>
                <w:rFonts w:hint="eastAsia" w:ascii="宋体" w:hAnsi="宋体" w:eastAsia="宋体"/>
                <w:color w:val="auto"/>
                <w:sz w:val="18"/>
                <w:szCs w:val="18"/>
                <w:lang w:eastAsia="zh-CN"/>
              </w:rPr>
            </w:pPr>
            <w:r>
              <w:rPr>
                <w:rFonts w:ascii="宋体" w:hAnsi="宋体"/>
                <w:color w:val="auto"/>
                <w:sz w:val="18"/>
                <w:szCs w:val="18"/>
              </w:rPr>
              <w:t>防护等级：IP68</w:t>
            </w:r>
            <w:r>
              <w:rPr>
                <w:rFonts w:hint="eastAsia" w:ascii="宋体" w:hAnsi="宋体"/>
                <w:color w:val="auto"/>
                <w:sz w:val="18"/>
                <w:szCs w:val="18"/>
                <w:lang w:eastAsia="zh-CN"/>
              </w:rPr>
              <w:t>。</w:t>
            </w:r>
          </w:p>
        </w:tc>
      </w:tr>
    </w:tbl>
    <w:p w14:paraId="009671B6">
      <w:pPr>
        <w:pStyle w:val="86"/>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ascii="黑体" w:hAnsi="黑体" w:eastAsia="黑体" w:cs="黑体"/>
          <w:color w:val="auto"/>
          <w:kern w:val="2"/>
          <w:sz w:val="21"/>
          <w:szCs w:val="21"/>
          <w:lang w:val="en-US" w:eastAsia="zh-CN" w:bidi="ar-SA"/>
        </w:rPr>
      </w:pPr>
      <w:bookmarkStart w:id="148" w:name="_Toc5460"/>
      <w:r>
        <w:rPr>
          <w:color w:val="auto"/>
        </w:rPr>
        <w:br w:type="textWrapping"/>
      </w:r>
      <w:r>
        <w:rPr>
          <w:rFonts w:hint="eastAsia"/>
          <w:color w:val="auto"/>
        </w:rPr>
        <w:t>（资料性）</w:t>
      </w:r>
      <w:r>
        <w:rPr>
          <w:color w:val="auto"/>
        </w:rPr>
        <w:br w:type="textWrapping"/>
      </w:r>
      <w:r>
        <w:rPr>
          <w:rFonts w:hint="eastAsia" w:ascii="黑体" w:hAnsi="黑体" w:eastAsia="黑体" w:cs="黑体"/>
          <w:color w:val="auto"/>
          <w:kern w:val="2"/>
          <w:sz w:val="21"/>
          <w:szCs w:val="21"/>
          <w:lang w:val="en-US" w:eastAsia="zh-CN" w:bidi="ar-SA"/>
        </w:rPr>
        <w:t>湖北省地方标准实施信息及意见反馈表</w:t>
      </w:r>
      <w:bookmarkEnd w:id="148"/>
    </w:p>
    <w:p w14:paraId="6F5A006D">
      <w:pPr>
        <w:pStyle w:val="66"/>
        <w:spacing w:before="156" w:after="156"/>
        <w:ind w:firstLine="420"/>
        <w:rPr>
          <w:color w:val="auto"/>
        </w:rPr>
      </w:pPr>
      <w:r>
        <w:rPr>
          <w:rFonts w:hint="eastAsia"/>
          <w:color w:val="auto"/>
        </w:rPr>
        <w:t>湖北省地方标准实施信息及意见反馈表如表</w:t>
      </w:r>
      <w:r>
        <w:rPr>
          <w:rFonts w:hint="eastAsia"/>
          <w:color w:val="auto"/>
          <w:lang w:val="en-US" w:eastAsia="zh-CN"/>
        </w:rPr>
        <w:t>B</w:t>
      </w:r>
      <w:r>
        <w:rPr>
          <w:rFonts w:hint="eastAsia"/>
          <w:color w:val="auto"/>
        </w:rPr>
        <w:t>.1所示。</w:t>
      </w:r>
    </w:p>
    <w:p w14:paraId="327A8E22">
      <w:pPr>
        <w:pStyle w:val="87"/>
        <w:numPr>
          <w:ilvl w:val="0"/>
          <w:numId w:val="0"/>
        </w:numPr>
        <w:spacing w:before="156" w:after="156"/>
        <w:rPr>
          <w:color w:val="auto"/>
        </w:rPr>
      </w:pPr>
      <w:r>
        <w:rPr>
          <w:rFonts w:hint="eastAsia"/>
          <w:color w:val="auto"/>
        </w:rPr>
        <w:t>表</w:t>
      </w:r>
      <w:r>
        <w:rPr>
          <w:rFonts w:hint="eastAsia"/>
          <w:color w:val="auto"/>
          <w:lang w:val="en-US" w:eastAsia="zh-CN"/>
        </w:rPr>
        <w:t>B</w:t>
      </w:r>
      <w:r>
        <w:rPr>
          <w:rFonts w:hint="eastAsia"/>
          <w:color w:val="auto"/>
        </w:rPr>
        <w:t>.1　湖北省地方标准实施信息及意见反馈表</w:t>
      </w:r>
    </w:p>
    <w:tbl>
      <w:tblPr>
        <w:tblStyle w:val="273"/>
        <w:tblW w:w="905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1"/>
        <w:gridCol w:w="823"/>
        <w:gridCol w:w="338"/>
        <w:gridCol w:w="2192"/>
        <w:gridCol w:w="3109"/>
        <w:gridCol w:w="1384"/>
      </w:tblGrid>
      <w:tr w14:paraId="065F0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034" w:type="dxa"/>
            <w:gridSpan w:val="2"/>
            <w:tcBorders>
              <w:top w:val="single" w:color="auto" w:sz="12" w:space="0"/>
              <w:left w:val="single" w:color="auto" w:sz="12" w:space="0"/>
              <w:bottom w:val="single" w:color="000000" w:sz="2" w:space="0"/>
              <w:right w:val="single" w:color="auto" w:sz="4" w:space="0"/>
            </w:tcBorders>
            <w:vAlign w:val="center"/>
          </w:tcPr>
          <w:p w14:paraId="42120DF7">
            <w:pPr>
              <w:widowControl/>
              <w:kinsoku w:val="0"/>
              <w:autoSpaceDE w:val="0"/>
              <w:autoSpaceDN w:val="0"/>
              <w:spacing w:line="240" w:lineRule="auto"/>
              <w:ind w:left="115"/>
              <w:jc w:val="left"/>
              <w:textAlignment w:val="baseline"/>
              <w:rPr>
                <w:rFonts w:ascii="宋体" w:hAnsi="宋体" w:eastAsia="Times New Roman"/>
                <w:color w:val="auto"/>
                <w:kern w:val="0"/>
                <w:sz w:val="18"/>
                <w:szCs w:val="18"/>
              </w:rPr>
            </w:pPr>
            <w:r>
              <w:rPr>
                <w:rFonts w:hint="eastAsia" w:ascii="宋体" w:hAnsi="宋体" w:eastAsia="Times New Roman"/>
                <w:color w:val="auto"/>
                <w:spacing w:val="9"/>
                <w:kern w:val="0"/>
                <w:sz w:val="18"/>
                <w:szCs w:val="18"/>
              </w:rPr>
              <w:t>标准名称及编号</w:t>
            </w:r>
          </w:p>
        </w:tc>
        <w:tc>
          <w:tcPr>
            <w:tcW w:w="7023" w:type="dxa"/>
            <w:gridSpan w:val="4"/>
            <w:tcBorders>
              <w:top w:val="single" w:color="auto" w:sz="12" w:space="0"/>
              <w:left w:val="single" w:color="auto" w:sz="4" w:space="0"/>
              <w:bottom w:val="single" w:color="000000" w:sz="2" w:space="0"/>
              <w:right w:val="single" w:color="auto" w:sz="12" w:space="0"/>
            </w:tcBorders>
            <w:vAlign w:val="center"/>
          </w:tcPr>
          <w:p w14:paraId="03C44DB0">
            <w:pPr>
              <w:spacing w:line="240" w:lineRule="auto"/>
              <w:jc w:val="left"/>
              <w:rPr>
                <w:rFonts w:ascii="宋体" w:hAnsi="宋体" w:eastAsia="Times New Roman" w:cs="Arial"/>
                <w:color w:val="auto"/>
                <w:kern w:val="0"/>
                <w:sz w:val="18"/>
                <w:szCs w:val="18"/>
              </w:rPr>
            </w:pPr>
          </w:p>
        </w:tc>
      </w:tr>
      <w:tr w14:paraId="0C4E3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211" w:type="dxa"/>
            <w:vMerge w:val="restart"/>
            <w:tcBorders>
              <w:top w:val="single" w:color="auto" w:sz="12" w:space="0"/>
              <w:left w:val="single" w:color="auto" w:sz="12" w:space="0"/>
              <w:bottom w:val="single" w:color="auto" w:sz="4" w:space="0"/>
              <w:right w:val="single" w:color="auto" w:sz="4" w:space="0"/>
            </w:tcBorders>
            <w:vAlign w:val="center"/>
          </w:tcPr>
          <w:p w14:paraId="00F6B342">
            <w:pPr>
              <w:widowControl/>
              <w:kinsoku w:val="0"/>
              <w:autoSpaceDE w:val="0"/>
              <w:autoSpaceDN w:val="0"/>
              <w:spacing w:line="240" w:lineRule="auto"/>
              <w:ind w:left="147"/>
              <w:jc w:val="left"/>
              <w:textAlignment w:val="baseline"/>
              <w:rPr>
                <w:rFonts w:ascii="宋体" w:hAnsi="宋体" w:eastAsia="Times New Roman"/>
                <w:color w:val="auto"/>
                <w:kern w:val="0"/>
                <w:sz w:val="18"/>
                <w:szCs w:val="18"/>
              </w:rPr>
            </w:pPr>
            <w:r>
              <w:rPr>
                <w:rFonts w:hint="eastAsia" w:ascii="宋体" w:hAnsi="宋体" w:eastAsia="Times New Roman"/>
                <w:color w:val="auto"/>
                <w:spacing w:val="3"/>
                <w:kern w:val="0"/>
                <w:sz w:val="18"/>
                <w:szCs w:val="18"/>
              </w:rPr>
              <w:t>总体评价</w:t>
            </w:r>
          </w:p>
        </w:tc>
        <w:tc>
          <w:tcPr>
            <w:tcW w:w="1161" w:type="dxa"/>
            <w:gridSpan w:val="2"/>
            <w:tcBorders>
              <w:top w:val="single" w:color="auto" w:sz="12" w:space="0"/>
              <w:left w:val="single" w:color="auto" w:sz="4" w:space="0"/>
              <w:bottom w:val="single" w:color="auto" w:sz="4" w:space="0"/>
              <w:right w:val="single" w:color="auto" w:sz="4" w:space="0"/>
            </w:tcBorders>
            <w:vAlign w:val="center"/>
          </w:tcPr>
          <w:p w14:paraId="465C0FEF">
            <w:pPr>
              <w:widowControl/>
              <w:kinsoku w:val="0"/>
              <w:autoSpaceDE w:val="0"/>
              <w:autoSpaceDN w:val="0"/>
              <w:spacing w:line="240" w:lineRule="auto"/>
              <w:ind w:left="229"/>
              <w:jc w:val="left"/>
              <w:textAlignment w:val="baseline"/>
              <w:rPr>
                <w:rFonts w:ascii="宋体" w:hAnsi="宋体" w:eastAsia="Times New Roman"/>
                <w:color w:val="auto"/>
                <w:kern w:val="0"/>
                <w:sz w:val="18"/>
                <w:szCs w:val="18"/>
              </w:rPr>
            </w:pPr>
            <w:r>
              <w:rPr>
                <w:rFonts w:hint="eastAsia" w:ascii="宋体" w:hAnsi="宋体" w:eastAsia="Times New Roman"/>
                <w:color w:val="auto"/>
                <w:spacing w:val="5"/>
                <w:kern w:val="0"/>
                <w:sz w:val="18"/>
                <w:szCs w:val="18"/>
              </w:rPr>
              <w:t>适用性</w:t>
            </w:r>
          </w:p>
        </w:tc>
        <w:tc>
          <w:tcPr>
            <w:tcW w:w="5301" w:type="dxa"/>
            <w:gridSpan w:val="2"/>
            <w:tcBorders>
              <w:top w:val="single" w:color="auto" w:sz="12" w:space="0"/>
              <w:left w:val="single" w:color="auto" w:sz="4" w:space="0"/>
              <w:bottom w:val="single" w:color="auto" w:sz="4" w:space="0"/>
              <w:right w:val="single" w:color="auto" w:sz="4" w:space="0"/>
            </w:tcBorders>
            <w:vAlign w:val="center"/>
          </w:tcPr>
          <w:p w14:paraId="42CF6F30">
            <w:pPr>
              <w:widowControl/>
              <w:kinsoku w:val="0"/>
              <w:autoSpaceDE w:val="0"/>
              <w:autoSpaceDN w:val="0"/>
              <w:spacing w:line="240" w:lineRule="auto"/>
              <w:ind w:left="116" w:right="103"/>
              <w:jc w:val="left"/>
              <w:textAlignment w:val="baseline"/>
              <w:rPr>
                <w:rFonts w:ascii="宋体" w:hAnsi="宋体" w:eastAsia="Times New Roman"/>
                <w:color w:val="auto"/>
                <w:kern w:val="0"/>
                <w:sz w:val="18"/>
                <w:szCs w:val="18"/>
              </w:rPr>
            </w:pPr>
            <w:r>
              <w:rPr>
                <w:rFonts w:hint="eastAsia" w:ascii="宋体" w:hAnsi="宋体" w:eastAsia="Times New Roman"/>
                <w:color w:val="auto"/>
                <w:spacing w:val="11"/>
                <w:kern w:val="0"/>
                <w:sz w:val="18"/>
                <w:szCs w:val="18"/>
              </w:rPr>
              <w:t>该标准与当前所在地的产业或社会发展水平是否相匹配？</w:t>
            </w:r>
          </w:p>
        </w:tc>
        <w:tc>
          <w:tcPr>
            <w:tcW w:w="1384" w:type="dxa"/>
            <w:tcBorders>
              <w:top w:val="single" w:color="auto" w:sz="12" w:space="0"/>
              <w:left w:val="single" w:color="auto" w:sz="4" w:space="0"/>
              <w:bottom w:val="single" w:color="auto" w:sz="4" w:space="0"/>
              <w:right w:val="single" w:color="auto" w:sz="12" w:space="0"/>
            </w:tcBorders>
            <w:vAlign w:val="center"/>
          </w:tcPr>
          <w:p w14:paraId="572E100A">
            <w:pPr>
              <w:widowControl/>
              <w:kinsoku w:val="0"/>
              <w:autoSpaceDE w:val="0"/>
              <w:autoSpaceDN w:val="0"/>
              <w:spacing w:line="240" w:lineRule="auto"/>
              <w:ind w:left="127"/>
              <w:jc w:val="left"/>
              <w:textAlignment w:val="baseline"/>
              <w:rPr>
                <w:rFonts w:ascii="宋体" w:hAnsi="宋体" w:eastAsia="Times New Roman"/>
                <w:color w:val="auto"/>
                <w:kern w:val="0"/>
                <w:sz w:val="18"/>
                <w:szCs w:val="18"/>
              </w:rPr>
            </w:pPr>
            <w:r>
              <w:rPr>
                <w:rFonts w:ascii="宋体" w:hAnsi="宋体" w:eastAsia="Times New Roman"/>
                <w:color w:val="auto"/>
                <w:kern w:val="0"/>
                <w:sz w:val="18"/>
                <w:szCs w:val="18"/>
              </w:rPr>
              <w:drawing>
                <wp:inline distT="0" distB="0" distL="0" distR="0">
                  <wp:extent cx="114300" cy="114300"/>
                  <wp:effectExtent l="0" t="0" r="7620" b="7620"/>
                  <wp:docPr id="1583899121" name="图片 1583899121" descr="C:\Users\ADMINI~1.USE\AppData\Local\Temp\ksohtml1191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899121" name="图片 1583899121" descr="C:\Users\ADMINI~1.USE\AppData\Local\Temp\ksohtml11916\wps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auto"/>
                <w:spacing w:val="22"/>
                <w:kern w:val="0"/>
                <w:sz w:val="18"/>
                <w:szCs w:val="18"/>
              </w:rPr>
              <w:t xml:space="preserve">是  </w:t>
            </w:r>
            <w:r>
              <w:rPr>
                <w:rFonts w:ascii="宋体" w:hAnsi="宋体" w:eastAsia="Times New Roman"/>
                <w:color w:val="auto"/>
                <w:kern w:val="0"/>
                <w:sz w:val="18"/>
                <w:szCs w:val="18"/>
              </w:rPr>
              <w:drawing>
                <wp:inline distT="0" distB="0" distL="0" distR="0">
                  <wp:extent cx="114300" cy="114300"/>
                  <wp:effectExtent l="0" t="0" r="7620" b="7620"/>
                  <wp:docPr id="272204468" name="图片 272204468" descr="C:\Users\ADMINI~1.USE\AppData\Local\Temp\ksohtml1191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204468" name="图片 272204468" descr="C:\Users\ADMINI~1.USE\AppData\Local\Temp\ksohtml11916\wps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auto"/>
                <w:spacing w:val="22"/>
                <w:kern w:val="0"/>
                <w:sz w:val="18"/>
                <w:szCs w:val="18"/>
              </w:rPr>
              <w:t>否</w:t>
            </w:r>
          </w:p>
        </w:tc>
      </w:tr>
      <w:tr w14:paraId="747F3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211" w:type="dxa"/>
            <w:vMerge w:val="continue"/>
            <w:tcBorders>
              <w:top w:val="single" w:color="auto" w:sz="4" w:space="0"/>
              <w:left w:val="single" w:color="auto" w:sz="12" w:space="0"/>
              <w:bottom w:val="single" w:color="auto" w:sz="4" w:space="0"/>
              <w:right w:val="single" w:color="auto" w:sz="4" w:space="0"/>
            </w:tcBorders>
            <w:vAlign w:val="center"/>
          </w:tcPr>
          <w:p w14:paraId="34A8FE4B">
            <w:pPr>
              <w:widowControl/>
              <w:spacing w:line="240" w:lineRule="auto"/>
              <w:jc w:val="left"/>
              <w:rPr>
                <w:rFonts w:ascii="宋体" w:hAnsi="宋体" w:eastAsia="Times New Roman"/>
                <w:color w:val="auto"/>
                <w:kern w:val="0"/>
                <w:sz w:val="18"/>
                <w:szCs w:val="18"/>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1B53C2FF">
            <w:pPr>
              <w:widowControl/>
              <w:kinsoku w:val="0"/>
              <w:autoSpaceDE w:val="0"/>
              <w:autoSpaceDN w:val="0"/>
              <w:spacing w:line="240" w:lineRule="auto"/>
              <w:ind w:left="229"/>
              <w:jc w:val="left"/>
              <w:textAlignment w:val="baseline"/>
              <w:rPr>
                <w:rFonts w:ascii="宋体" w:hAnsi="宋体" w:eastAsia="Times New Roman"/>
                <w:color w:val="auto"/>
                <w:kern w:val="0"/>
                <w:sz w:val="18"/>
                <w:szCs w:val="18"/>
              </w:rPr>
            </w:pPr>
            <w:r>
              <w:rPr>
                <w:rFonts w:hint="eastAsia" w:ascii="宋体" w:hAnsi="宋体" w:eastAsia="Times New Roman"/>
                <w:color w:val="auto"/>
                <w:spacing w:val="5"/>
                <w:kern w:val="0"/>
                <w:sz w:val="18"/>
                <w:szCs w:val="18"/>
              </w:rPr>
              <w:t>协调性</w:t>
            </w:r>
          </w:p>
        </w:tc>
        <w:tc>
          <w:tcPr>
            <w:tcW w:w="5301" w:type="dxa"/>
            <w:gridSpan w:val="2"/>
            <w:tcBorders>
              <w:top w:val="single" w:color="auto" w:sz="4" w:space="0"/>
              <w:left w:val="single" w:color="auto" w:sz="4" w:space="0"/>
              <w:bottom w:val="single" w:color="auto" w:sz="4" w:space="0"/>
              <w:right w:val="single" w:color="auto" w:sz="4" w:space="0"/>
            </w:tcBorders>
            <w:vAlign w:val="center"/>
          </w:tcPr>
          <w:p w14:paraId="7BA0832B">
            <w:pPr>
              <w:widowControl/>
              <w:kinsoku w:val="0"/>
              <w:autoSpaceDE w:val="0"/>
              <w:autoSpaceDN w:val="0"/>
              <w:spacing w:line="240" w:lineRule="auto"/>
              <w:ind w:left="116" w:right="103"/>
              <w:jc w:val="left"/>
              <w:textAlignment w:val="baseline"/>
              <w:rPr>
                <w:rFonts w:ascii="宋体" w:hAnsi="宋体" w:eastAsia="Times New Roman"/>
                <w:color w:val="auto"/>
                <w:kern w:val="0"/>
                <w:sz w:val="18"/>
                <w:szCs w:val="18"/>
              </w:rPr>
            </w:pPr>
            <w:r>
              <w:rPr>
                <w:rFonts w:hint="eastAsia" w:ascii="宋体" w:hAnsi="宋体" w:eastAsia="Times New Roman"/>
                <w:color w:val="auto"/>
                <w:spacing w:val="11"/>
                <w:kern w:val="0"/>
                <w:sz w:val="18"/>
                <w:szCs w:val="18"/>
              </w:rPr>
              <w:t>该标准的特色要求与其他强制性标准的主要技术指标、相关法律法规、部门规章或产业政策是否</w:t>
            </w:r>
            <w:r>
              <w:rPr>
                <w:rFonts w:hint="eastAsia" w:ascii="宋体" w:hAnsi="宋体" w:eastAsia="Times New Roman"/>
                <w:color w:val="auto"/>
                <w:spacing w:val="2"/>
                <w:kern w:val="0"/>
                <w:sz w:val="18"/>
                <w:szCs w:val="18"/>
              </w:rPr>
              <w:t>协调？</w:t>
            </w:r>
          </w:p>
        </w:tc>
        <w:tc>
          <w:tcPr>
            <w:tcW w:w="1384" w:type="dxa"/>
            <w:tcBorders>
              <w:top w:val="single" w:color="auto" w:sz="4" w:space="0"/>
              <w:left w:val="single" w:color="auto" w:sz="4" w:space="0"/>
              <w:bottom w:val="single" w:color="auto" w:sz="4" w:space="0"/>
              <w:right w:val="single" w:color="auto" w:sz="12" w:space="0"/>
            </w:tcBorders>
            <w:vAlign w:val="center"/>
          </w:tcPr>
          <w:p w14:paraId="676AA9E9">
            <w:pPr>
              <w:widowControl/>
              <w:kinsoku w:val="0"/>
              <w:autoSpaceDE w:val="0"/>
              <w:autoSpaceDN w:val="0"/>
              <w:spacing w:line="240" w:lineRule="auto"/>
              <w:ind w:left="127"/>
              <w:jc w:val="left"/>
              <w:textAlignment w:val="baseline"/>
              <w:rPr>
                <w:rFonts w:ascii="宋体" w:hAnsi="宋体" w:eastAsia="Times New Roman"/>
                <w:color w:val="auto"/>
                <w:kern w:val="0"/>
                <w:sz w:val="18"/>
                <w:szCs w:val="18"/>
              </w:rPr>
            </w:pPr>
            <w:r>
              <w:rPr>
                <w:rFonts w:ascii="宋体" w:hAnsi="宋体" w:eastAsia="Times New Roman"/>
                <w:color w:val="auto"/>
                <w:kern w:val="0"/>
                <w:sz w:val="18"/>
                <w:szCs w:val="18"/>
              </w:rPr>
              <w:drawing>
                <wp:inline distT="0" distB="0" distL="0" distR="0">
                  <wp:extent cx="114300" cy="114300"/>
                  <wp:effectExtent l="0" t="0" r="7620" b="7620"/>
                  <wp:docPr id="970659213" name="图片 970659213" descr="C:\Users\ADMINI~1.USE\AppData\Local\Temp\ksohtml1191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659213" name="图片 970659213" descr="C:\Users\ADMINI~1.USE\AppData\Local\Temp\ksohtml11916\wps3.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auto"/>
                <w:spacing w:val="22"/>
                <w:kern w:val="0"/>
                <w:sz w:val="18"/>
                <w:szCs w:val="18"/>
              </w:rPr>
              <w:t xml:space="preserve">是  </w:t>
            </w:r>
            <w:r>
              <w:rPr>
                <w:rFonts w:ascii="宋体" w:hAnsi="宋体" w:eastAsia="Times New Roman"/>
                <w:color w:val="auto"/>
                <w:kern w:val="0"/>
                <w:sz w:val="18"/>
                <w:szCs w:val="18"/>
              </w:rPr>
              <w:drawing>
                <wp:inline distT="0" distB="0" distL="0" distR="0">
                  <wp:extent cx="114300" cy="114300"/>
                  <wp:effectExtent l="0" t="0" r="7620" b="7620"/>
                  <wp:docPr id="229028836" name="图片 229028836" descr="C:\Users\ADMINI~1.USE\AppData\Local\Temp\ksohtml11916\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028836" name="图片 229028836" descr="C:\Users\ADMINI~1.USE\AppData\Local\Temp\ksohtml11916\wps4.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auto"/>
                <w:spacing w:val="22"/>
                <w:kern w:val="0"/>
                <w:sz w:val="18"/>
                <w:szCs w:val="18"/>
              </w:rPr>
              <w:t>否</w:t>
            </w:r>
          </w:p>
        </w:tc>
      </w:tr>
      <w:tr w14:paraId="3ACDF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211" w:type="dxa"/>
            <w:vMerge w:val="continue"/>
            <w:tcBorders>
              <w:top w:val="single" w:color="auto" w:sz="4" w:space="0"/>
              <w:left w:val="single" w:color="auto" w:sz="12" w:space="0"/>
              <w:bottom w:val="single" w:color="auto" w:sz="4" w:space="0"/>
              <w:right w:val="single" w:color="auto" w:sz="4" w:space="0"/>
            </w:tcBorders>
            <w:vAlign w:val="center"/>
          </w:tcPr>
          <w:p w14:paraId="196B1362">
            <w:pPr>
              <w:widowControl/>
              <w:spacing w:line="240" w:lineRule="auto"/>
              <w:jc w:val="left"/>
              <w:rPr>
                <w:rFonts w:ascii="宋体" w:hAnsi="宋体" w:eastAsia="Times New Roman"/>
                <w:color w:val="auto"/>
                <w:kern w:val="0"/>
                <w:sz w:val="18"/>
                <w:szCs w:val="18"/>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6FF91AA5">
            <w:pPr>
              <w:widowControl/>
              <w:kinsoku w:val="0"/>
              <w:autoSpaceDE w:val="0"/>
              <w:autoSpaceDN w:val="0"/>
              <w:spacing w:line="240" w:lineRule="auto"/>
              <w:ind w:left="351"/>
              <w:jc w:val="left"/>
              <w:textAlignment w:val="baseline"/>
              <w:rPr>
                <w:rFonts w:ascii="宋体" w:hAnsi="宋体" w:eastAsia="Times New Roman"/>
                <w:color w:val="auto"/>
                <w:kern w:val="0"/>
                <w:sz w:val="18"/>
                <w:szCs w:val="18"/>
              </w:rPr>
            </w:pPr>
            <w:r>
              <w:rPr>
                <w:rFonts w:hint="eastAsia" w:ascii="宋体" w:hAnsi="宋体" w:eastAsia="Times New Roman"/>
                <w:color w:val="auto"/>
                <w:spacing w:val="2"/>
                <w:kern w:val="0"/>
                <w:position w:val="12"/>
                <w:sz w:val="18"/>
                <w:szCs w:val="18"/>
              </w:rPr>
              <w:t>执行</w:t>
            </w:r>
          </w:p>
          <w:p w14:paraId="4D0986A5">
            <w:pPr>
              <w:widowControl/>
              <w:kinsoku w:val="0"/>
              <w:autoSpaceDE w:val="0"/>
              <w:autoSpaceDN w:val="0"/>
              <w:spacing w:line="240" w:lineRule="auto"/>
              <w:ind w:left="355"/>
              <w:jc w:val="left"/>
              <w:textAlignment w:val="baseline"/>
              <w:rPr>
                <w:rFonts w:ascii="宋体" w:hAnsi="宋体" w:eastAsia="Times New Roman"/>
                <w:color w:val="auto"/>
                <w:kern w:val="0"/>
                <w:sz w:val="18"/>
                <w:szCs w:val="18"/>
              </w:rPr>
            </w:pPr>
            <w:r>
              <w:rPr>
                <w:rFonts w:hint="eastAsia" w:ascii="宋体" w:hAnsi="宋体" w:eastAsia="Times New Roman"/>
                <w:color w:val="auto"/>
                <w:kern w:val="0"/>
                <w:sz w:val="18"/>
                <w:szCs w:val="18"/>
              </w:rPr>
              <w:t>情况</w:t>
            </w:r>
          </w:p>
        </w:tc>
        <w:tc>
          <w:tcPr>
            <w:tcW w:w="5301" w:type="dxa"/>
            <w:gridSpan w:val="2"/>
            <w:tcBorders>
              <w:top w:val="single" w:color="auto" w:sz="4" w:space="0"/>
              <w:left w:val="single" w:color="auto" w:sz="4" w:space="0"/>
              <w:bottom w:val="single" w:color="auto" w:sz="4" w:space="0"/>
              <w:right w:val="single" w:color="auto" w:sz="4" w:space="0"/>
            </w:tcBorders>
            <w:vAlign w:val="center"/>
          </w:tcPr>
          <w:p w14:paraId="63C5FDFC">
            <w:pPr>
              <w:widowControl/>
              <w:kinsoku w:val="0"/>
              <w:autoSpaceDE w:val="0"/>
              <w:autoSpaceDN w:val="0"/>
              <w:spacing w:line="240" w:lineRule="auto"/>
              <w:ind w:left="116" w:right="103"/>
              <w:jc w:val="left"/>
              <w:textAlignment w:val="baseline"/>
              <w:rPr>
                <w:rFonts w:ascii="宋体" w:hAnsi="宋体" w:eastAsia="Times New Roman"/>
                <w:color w:val="auto"/>
                <w:spacing w:val="11"/>
                <w:kern w:val="0"/>
                <w:sz w:val="18"/>
                <w:szCs w:val="18"/>
              </w:rPr>
            </w:pPr>
            <w:r>
              <w:rPr>
                <w:rFonts w:hint="eastAsia" w:ascii="宋体" w:hAnsi="宋体" w:eastAsia="Times New Roman"/>
                <w:color w:val="auto"/>
                <w:spacing w:val="11"/>
                <w:kern w:val="0"/>
                <w:sz w:val="18"/>
                <w:szCs w:val="18"/>
              </w:rPr>
              <w:t>标准执行单位或人员是否按照标准要求组织开展相关工</w:t>
            </w:r>
          </w:p>
          <w:p w14:paraId="4741E217">
            <w:pPr>
              <w:widowControl/>
              <w:kinsoku w:val="0"/>
              <w:autoSpaceDE w:val="0"/>
              <w:autoSpaceDN w:val="0"/>
              <w:spacing w:line="240" w:lineRule="auto"/>
              <w:ind w:left="116" w:right="103"/>
              <w:jc w:val="left"/>
              <w:textAlignment w:val="baseline"/>
              <w:rPr>
                <w:rFonts w:ascii="宋体" w:hAnsi="宋体" w:eastAsia="Times New Roman"/>
                <w:color w:val="auto"/>
                <w:kern w:val="0"/>
                <w:sz w:val="18"/>
                <w:szCs w:val="18"/>
              </w:rPr>
            </w:pPr>
            <w:r>
              <w:rPr>
                <w:rFonts w:hint="eastAsia" w:ascii="宋体" w:hAnsi="宋体" w:eastAsia="Times New Roman"/>
                <w:color w:val="auto"/>
                <w:spacing w:val="11"/>
                <w:kern w:val="0"/>
                <w:sz w:val="18"/>
                <w:szCs w:val="18"/>
              </w:rPr>
              <w:t>作？</w:t>
            </w:r>
          </w:p>
        </w:tc>
        <w:tc>
          <w:tcPr>
            <w:tcW w:w="1384" w:type="dxa"/>
            <w:tcBorders>
              <w:top w:val="single" w:color="auto" w:sz="4" w:space="0"/>
              <w:left w:val="single" w:color="auto" w:sz="4" w:space="0"/>
              <w:bottom w:val="single" w:color="auto" w:sz="4" w:space="0"/>
              <w:right w:val="single" w:color="auto" w:sz="12" w:space="0"/>
            </w:tcBorders>
            <w:vAlign w:val="center"/>
          </w:tcPr>
          <w:p w14:paraId="2257C077">
            <w:pPr>
              <w:widowControl/>
              <w:kinsoku w:val="0"/>
              <w:autoSpaceDE w:val="0"/>
              <w:autoSpaceDN w:val="0"/>
              <w:spacing w:line="240" w:lineRule="auto"/>
              <w:ind w:left="127"/>
              <w:jc w:val="left"/>
              <w:textAlignment w:val="baseline"/>
              <w:rPr>
                <w:rFonts w:ascii="宋体" w:hAnsi="宋体" w:eastAsia="Times New Roman"/>
                <w:color w:val="auto"/>
                <w:kern w:val="0"/>
                <w:sz w:val="18"/>
                <w:szCs w:val="18"/>
              </w:rPr>
            </w:pPr>
            <w:r>
              <w:rPr>
                <w:rFonts w:ascii="宋体" w:hAnsi="宋体" w:eastAsia="Times New Roman"/>
                <w:color w:val="auto"/>
                <w:kern w:val="0"/>
                <w:sz w:val="18"/>
                <w:szCs w:val="18"/>
              </w:rPr>
              <w:drawing>
                <wp:inline distT="0" distB="0" distL="0" distR="0">
                  <wp:extent cx="114300" cy="114300"/>
                  <wp:effectExtent l="0" t="0" r="7620" b="7620"/>
                  <wp:docPr id="1632488911" name="图片 1632488911" descr="C:\Users\ADMINI~1.USE\AppData\Local\Temp\ksohtml11916\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488911" name="图片 1632488911" descr="C:\Users\ADMINI~1.USE\AppData\Local\Temp\ksohtml11916\wps5.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auto"/>
                <w:spacing w:val="22"/>
                <w:kern w:val="0"/>
                <w:sz w:val="18"/>
                <w:szCs w:val="18"/>
              </w:rPr>
              <w:t xml:space="preserve">是  </w:t>
            </w:r>
            <w:r>
              <w:rPr>
                <w:rFonts w:ascii="宋体" w:hAnsi="宋体" w:eastAsia="Times New Roman"/>
                <w:color w:val="auto"/>
                <w:kern w:val="0"/>
                <w:sz w:val="18"/>
                <w:szCs w:val="18"/>
              </w:rPr>
              <w:drawing>
                <wp:inline distT="0" distB="0" distL="0" distR="0">
                  <wp:extent cx="114300" cy="114300"/>
                  <wp:effectExtent l="0" t="0" r="7620" b="7620"/>
                  <wp:docPr id="1312708844" name="图片 1312708844" descr="C:\Users\ADMINI~1.USE\AppData\Local\Temp\ksohtml11916\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708844" name="图片 1312708844" descr="C:\Users\ADMINI~1.USE\AppData\Local\Temp\ksohtml11916\wps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auto"/>
                <w:spacing w:val="22"/>
                <w:kern w:val="0"/>
                <w:sz w:val="18"/>
                <w:szCs w:val="18"/>
              </w:rPr>
              <w:t>否</w:t>
            </w:r>
          </w:p>
        </w:tc>
      </w:tr>
      <w:tr w14:paraId="55651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211" w:type="dxa"/>
            <w:vMerge w:val="restart"/>
            <w:tcBorders>
              <w:top w:val="single" w:color="auto" w:sz="4" w:space="0"/>
              <w:left w:val="single" w:color="auto" w:sz="12" w:space="0"/>
              <w:bottom w:val="single" w:color="auto" w:sz="4" w:space="0"/>
              <w:right w:val="single" w:color="auto" w:sz="4" w:space="0"/>
            </w:tcBorders>
            <w:vAlign w:val="center"/>
          </w:tcPr>
          <w:p w14:paraId="13A41BD1">
            <w:pPr>
              <w:widowControl/>
              <w:kinsoku w:val="0"/>
              <w:autoSpaceDE w:val="0"/>
              <w:autoSpaceDN w:val="0"/>
              <w:spacing w:line="240" w:lineRule="auto"/>
              <w:ind w:left="143"/>
              <w:jc w:val="left"/>
              <w:textAlignment w:val="baseline"/>
              <w:rPr>
                <w:rFonts w:ascii="宋体" w:hAnsi="宋体" w:eastAsia="Times New Roman"/>
                <w:color w:val="auto"/>
                <w:kern w:val="0"/>
                <w:sz w:val="18"/>
                <w:szCs w:val="18"/>
              </w:rPr>
            </w:pPr>
            <w:r>
              <w:rPr>
                <w:rFonts w:hint="eastAsia" w:ascii="宋体" w:hAnsi="宋体" w:eastAsia="Times New Roman"/>
                <w:color w:val="auto"/>
                <w:spacing w:val="4"/>
                <w:kern w:val="0"/>
                <w:sz w:val="18"/>
                <w:szCs w:val="18"/>
              </w:rPr>
              <w:t>实施信息</w:t>
            </w:r>
          </w:p>
        </w:tc>
        <w:tc>
          <w:tcPr>
            <w:tcW w:w="6462" w:type="dxa"/>
            <w:gridSpan w:val="4"/>
            <w:tcBorders>
              <w:top w:val="single" w:color="auto" w:sz="4" w:space="0"/>
              <w:left w:val="single" w:color="auto" w:sz="4" w:space="0"/>
              <w:bottom w:val="single" w:color="auto" w:sz="4" w:space="0"/>
              <w:right w:val="single" w:color="auto" w:sz="4" w:space="0"/>
            </w:tcBorders>
            <w:vAlign w:val="center"/>
          </w:tcPr>
          <w:p w14:paraId="6EE683EB">
            <w:pPr>
              <w:widowControl/>
              <w:kinsoku w:val="0"/>
              <w:autoSpaceDE w:val="0"/>
              <w:autoSpaceDN w:val="0"/>
              <w:spacing w:line="240" w:lineRule="auto"/>
              <w:ind w:left="111"/>
              <w:jc w:val="left"/>
              <w:textAlignment w:val="baseline"/>
              <w:rPr>
                <w:rFonts w:ascii="宋体" w:hAnsi="宋体" w:eastAsia="Times New Roman"/>
                <w:color w:val="auto"/>
                <w:kern w:val="0"/>
                <w:sz w:val="18"/>
                <w:szCs w:val="18"/>
              </w:rPr>
            </w:pPr>
            <w:r>
              <w:rPr>
                <w:rFonts w:hint="eastAsia" w:ascii="宋体" w:hAnsi="宋体" w:eastAsia="Times New Roman"/>
                <w:color w:val="auto"/>
                <w:spacing w:val="8"/>
                <w:kern w:val="0"/>
                <w:sz w:val="18"/>
                <w:szCs w:val="18"/>
              </w:rPr>
              <w:t>标准实施过程中是否存在阻力和障碍？</w:t>
            </w:r>
          </w:p>
        </w:tc>
        <w:tc>
          <w:tcPr>
            <w:tcW w:w="1384" w:type="dxa"/>
            <w:tcBorders>
              <w:top w:val="single" w:color="auto" w:sz="4" w:space="0"/>
              <w:left w:val="single" w:color="auto" w:sz="4" w:space="0"/>
              <w:bottom w:val="single" w:color="auto" w:sz="4" w:space="0"/>
              <w:right w:val="single" w:color="auto" w:sz="12" w:space="0"/>
            </w:tcBorders>
            <w:vAlign w:val="center"/>
          </w:tcPr>
          <w:p w14:paraId="5F40931A">
            <w:pPr>
              <w:widowControl/>
              <w:kinsoku w:val="0"/>
              <w:autoSpaceDE w:val="0"/>
              <w:autoSpaceDN w:val="0"/>
              <w:spacing w:line="240" w:lineRule="auto"/>
              <w:ind w:left="127"/>
              <w:jc w:val="left"/>
              <w:textAlignment w:val="baseline"/>
              <w:rPr>
                <w:rFonts w:ascii="宋体" w:hAnsi="宋体" w:eastAsia="Times New Roman"/>
                <w:color w:val="auto"/>
                <w:kern w:val="0"/>
                <w:sz w:val="18"/>
                <w:szCs w:val="18"/>
              </w:rPr>
            </w:pPr>
            <w:r>
              <w:rPr>
                <w:rFonts w:ascii="宋体" w:hAnsi="宋体" w:eastAsia="Times New Roman"/>
                <w:color w:val="auto"/>
                <w:kern w:val="0"/>
                <w:sz w:val="18"/>
                <w:szCs w:val="18"/>
              </w:rPr>
              <w:drawing>
                <wp:inline distT="0" distB="0" distL="0" distR="0">
                  <wp:extent cx="114300" cy="114300"/>
                  <wp:effectExtent l="0" t="0" r="7620" b="7620"/>
                  <wp:docPr id="1707092084" name="图片 1707092084" descr="C:\Users\ADMINI~1.USE\AppData\Local\Temp\ksohtml11916\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092084" name="图片 1707092084" descr="C:\Users\ADMINI~1.USE\AppData\Local\Temp\ksohtml11916\wps7.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auto"/>
                <w:spacing w:val="22"/>
                <w:kern w:val="0"/>
                <w:sz w:val="18"/>
                <w:szCs w:val="18"/>
              </w:rPr>
              <w:t xml:space="preserve">是  </w:t>
            </w:r>
            <w:r>
              <w:rPr>
                <w:rFonts w:ascii="宋体" w:hAnsi="宋体" w:eastAsia="Times New Roman"/>
                <w:color w:val="auto"/>
                <w:kern w:val="0"/>
                <w:sz w:val="18"/>
                <w:szCs w:val="18"/>
              </w:rPr>
              <w:drawing>
                <wp:inline distT="0" distB="0" distL="0" distR="0">
                  <wp:extent cx="114300" cy="114300"/>
                  <wp:effectExtent l="0" t="0" r="7620" b="7620"/>
                  <wp:docPr id="409445744" name="图片 409445744" descr="C:\Users\ADMINI~1.USE\AppData\Local\Temp\ksohtml11916\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445744" name="图片 409445744" descr="C:\Users\ADMINI~1.USE\AppData\Local\Temp\ksohtml11916\wps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auto"/>
                <w:spacing w:val="22"/>
                <w:kern w:val="0"/>
                <w:sz w:val="18"/>
                <w:szCs w:val="18"/>
              </w:rPr>
              <w:t>否</w:t>
            </w:r>
          </w:p>
        </w:tc>
      </w:tr>
      <w:tr w14:paraId="65053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211" w:type="dxa"/>
            <w:vMerge w:val="continue"/>
            <w:tcBorders>
              <w:top w:val="single" w:color="auto" w:sz="4" w:space="0"/>
              <w:left w:val="single" w:color="auto" w:sz="12" w:space="0"/>
              <w:bottom w:val="single" w:color="auto" w:sz="4" w:space="0"/>
              <w:right w:val="single" w:color="auto" w:sz="4" w:space="0"/>
            </w:tcBorders>
            <w:vAlign w:val="center"/>
          </w:tcPr>
          <w:p w14:paraId="355EA3E0">
            <w:pPr>
              <w:widowControl/>
              <w:spacing w:line="240" w:lineRule="auto"/>
              <w:jc w:val="left"/>
              <w:rPr>
                <w:rFonts w:ascii="宋体" w:hAnsi="宋体" w:eastAsia="Times New Roman"/>
                <w:color w:val="auto"/>
                <w:kern w:val="0"/>
                <w:sz w:val="18"/>
                <w:szCs w:val="18"/>
              </w:rPr>
            </w:pPr>
          </w:p>
        </w:tc>
        <w:tc>
          <w:tcPr>
            <w:tcW w:w="3353" w:type="dxa"/>
            <w:gridSpan w:val="3"/>
            <w:tcBorders>
              <w:top w:val="single" w:color="auto" w:sz="4" w:space="0"/>
              <w:left w:val="single" w:color="auto" w:sz="4" w:space="0"/>
              <w:bottom w:val="single" w:color="auto" w:sz="4" w:space="0"/>
              <w:right w:val="single" w:color="auto" w:sz="4" w:space="0"/>
            </w:tcBorders>
            <w:vAlign w:val="center"/>
          </w:tcPr>
          <w:p w14:paraId="2FB4E0F1">
            <w:pPr>
              <w:widowControl/>
              <w:kinsoku w:val="0"/>
              <w:autoSpaceDE w:val="0"/>
              <w:autoSpaceDN w:val="0"/>
              <w:spacing w:line="240" w:lineRule="auto"/>
              <w:ind w:left="125"/>
              <w:jc w:val="left"/>
              <w:textAlignment w:val="baseline"/>
              <w:rPr>
                <w:rFonts w:ascii="宋体" w:hAnsi="宋体" w:eastAsia="Times New Roman"/>
                <w:color w:val="auto"/>
                <w:kern w:val="0"/>
                <w:sz w:val="18"/>
                <w:szCs w:val="18"/>
              </w:rPr>
            </w:pPr>
            <w:r>
              <w:rPr>
                <w:rFonts w:hint="eastAsia" w:ascii="宋体" w:hAnsi="宋体" w:eastAsia="Times New Roman"/>
                <w:color w:val="auto"/>
                <w:spacing w:val="8"/>
                <w:kern w:val="0"/>
                <w:sz w:val="18"/>
                <w:szCs w:val="18"/>
              </w:rPr>
              <w:t>实施过程中存在的主要问题</w:t>
            </w:r>
          </w:p>
        </w:tc>
        <w:tc>
          <w:tcPr>
            <w:tcW w:w="4493" w:type="dxa"/>
            <w:gridSpan w:val="2"/>
            <w:tcBorders>
              <w:top w:val="single" w:color="auto" w:sz="4" w:space="0"/>
              <w:left w:val="single" w:color="auto" w:sz="4" w:space="0"/>
              <w:bottom w:val="single" w:color="auto" w:sz="4" w:space="0"/>
              <w:right w:val="single" w:color="auto" w:sz="12" w:space="0"/>
            </w:tcBorders>
            <w:vAlign w:val="center"/>
          </w:tcPr>
          <w:p w14:paraId="3C7296E6">
            <w:pPr>
              <w:spacing w:line="240" w:lineRule="auto"/>
              <w:jc w:val="left"/>
              <w:rPr>
                <w:rFonts w:ascii="宋体" w:hAnsi="宋体" w:eastAsia="Times New Roman" w:cs="Arial"/>
                <w:color w:val="auto"/>
                <w:kern w:val="0"/>
                <w:sz w:val="18"/>
                <w:szCs w:val="18"/>
              </w:rPr>
            </w:pPr>
          </w:p>
        </w:tc>
      </w:tr>
      <w:tr w14:paraId="0EA05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trPr>
        <w:tc>
          <w:tcPr>
            <w:tcW w:w="1211" w:type="dxa"/>
            <w:vMerge w:val="restart"/>
            <w:tcBorders>
              <w:top w:val="single" w:color="auto" w:sz="4" w:space="0"/>
              <w:left w:val="single" w:color="auto" w:sz="12" w:space="0"/>
              <w:bottom w:val="single" w:color="auto" w:sz="4" w:space="0"/>
              <w:right w:val="single" w:color="auto" w:sz="4" w:space="0"/>
            </w:tcBorders>
            <w:vAlign w:val="center"/>
          </w:tcPr>
          <w:p w14:paraId="15E6E516">
            <w:pPr>
              <w:widowControl/>
              <w:kinsoku w:val="0"/>
              <w:autoSpaceDE w:val="0"/>
              <w:autoSpaceDN w:val="0"/>
              <w:spacing w:line="240" w:lineRule="auto"/>
              <w:ind w:left="126"/>
              <w:jc w:val="left"/>
              <w:textAlignment w:val="baseline"/>
              <w:rPr>
                <w:rFonts w:ascii="宋体" w:hAnsi="宋体" w:eastAsia="Times New Roman"/>
                <w:color w:val="auto"/>
                <w:kern w:val="0"/>
                <w:sz w:val="18"/>
                <w:szCs w:val="18"/>
              </w:rPr>
            </w:pPr>
            <w:r>
              <w:rPr>
                <w:rFonts w:hint="eastAsia" w:ascii="宋体" w:hAnsi="宋体" w:eastAsia="Times New Roman"/>
                <w:color w:val="auto"/>
                <w:spacing w:val="8"/>
                <w:kern w:val="0"/>
                <w:sz w:val="18"/>
                <w:szCs w:val="18"/>
              </w:rPr>
              <w:t>修改意见</w:t>
            </w: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1B840534">
            <w:pPr>
              <w:widowControl/>
              <w:kinsoku w:val="0"/>
              <w:autoSpaceDE w:val="0"/>
              <w:autoSpaceDN w:val="0"/>
              <w:spacing w:line="240" w:lineRule="auto"/>
              <w:ind w:left="361"/>
              <w:jc w:val="left"/>
              <w:textAlignment w:val="baseline"/>
              <w:rPr>
                <w:rFonts w:ascii="宋体" w:hAnsi="宋体" w:eastAsia="Times New Roman"/>
                <w:color w:val="auto"/>
                <w:kern w:val="0"/>
                <w:sz w:val="18"/>
                <w:szCs w:val="18"/>
              </w:rPr>
            </w:pPr>
            <w:r>
              <w:rPr>
                <w:rFonts w:hint="eastAsia" w:ascii="宋体" w:hAnsi="宋体" w:eastAsia="Times New Roman"/>
                <w:color w:val="auto"/>
                <w:spacing w:val="-3"/>
                <w:kern w:val="0"/>
                <w:position w:val="12"/>
                <w:sz w:val="18"/>
                <w:szCs w:val="18"/>
              </w:rPr>
              <w:t>总体</w:t>
            </w:r>
          </w:p>
          <w:p w14:paraId="095556B3">
            <w:pPr>
              <w:widowControl/>
              <w:kinsoku w:val="0"/>
              <w:autoSpaceDE w:val="0"/>
              <w:autoSpaceDN w:val="0"/>
              <w:spacing w:line="240" w:lineRule="auto"/>
              <w:ind w:left="361"/>
              <w:jc w:val="left"/>
              <w:textAlignment w:val="baseline"/>
              <w:rPr>
                <w:rFonts w:ascii="宋体" w:hAnsi="宋体" w:eastAsia="Times New Roman"/>
                <w:color w:val="auto"/>
                <w:kern w:val="0"/>
                <w:sz w:val="18"/>
                <w:szCs w:val="18"/>
              </w:rPr>
            </w:pPr>
            <w:r>
              <w:rPr>
                <w:rFonts w:hint="eastAsia" w:ascii="宋体" w:hAnsi="宋体" w:eastAsia="Times New Roman"/>
                <w:color w:val="auto"/>
                <w:spacing w:val="-3"/>
                <w:kern w:val="0"/>
                <w:sz w:val="18"/>
                <w:szCs w:val="18"/>
              </w:rPr>
              <w:t>意见</w:t>
            </w:r>
          </w:p>
        </w:tc>
        <w:tc>
          <w:tcPr>
            <w:tcW w:w="6685" w:type="dxa"/>
            <w:gridSpan w:val="3"/>
            <w:tcBorders>
              <w:top w:val="single" w:color="auto" w:sz="4" w:space="0"/>
              <w:left w:val="single" w:color="auto" w:sz="4" w:space="0"/>
              <w:bottom w:val="single" w:color="auto" w:sz="4" w:space="0"/>
              <w:right w:val="single" w:color="auto" w:sz="12" w:space="0"/>
            </w:tcBorders>
            <w:vAlign w:val="center"/>
          </w:tcPr>
          <w:p w14:paraId="1195D3B6">
            <w:pPr>
              <w:widowControl/>
              <w:kinsoku w:val="0"/>
              <w:autoSpaceDE w:val="0"/>
              <w:autoSpaceDN w:val="0"/>
              <w:spacing w:line="240" w:lineRule="auto"/>
              <w:ind w:left="124"/>
              <w:jc w:val="left"/>
              <w:textAlignment w:val="baseline"/>
              <w:rPr>
                <w:rFonts w:ascii="宋体" w:hAnsi="宋体" w:eastAsia="Times New Roman"/>
                <w:color w:val="auto"/>
                <w:kern w:val="0"/>
                <w:sz w:val="18"/>
                <w:szCs w:val="18"/>
              </w:rPr>
            </w:pPr>
            <w:r>
              <w:rPr>
                <w:rFonts w:ascii="宋体" w:hAnsi="宋体" w:eastAsia="Times New Roman"/>
                <w:color w:val="auto"/>
                <w:kern w:val="0"/>
                <w:sz w:val="18"/>
                <w:szCs w:val="18"/>
              </w:rPr>
              <w:drawing>
                <wp:inline distT="0" distB="0" distL="0" distR="0">
                  <wp:extent cx="114300" cy="114300"/>
                  <wp:effectExtent l="0" t="0" r="7620" b="7620"/>
                  <wp:docPr id="2011704443" name="图片 2011704443" descr="C:\Users\ADMINI~1.USE\AppData\Local\Temp\ksohtml11916\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704443" name="图片 2011704443" descr="C:\Users\ADMINI~1.USE\AppData\Local\Temp\ksohtml11916\wps9.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auto"/>
                <w:spacing w:val="14"/>
                <w:kern w:val="0"/>
                <w:sz w:val="18"/>
                <w:szCs w:val="18"/>
              </w:rPr>
              <w:t xml:space="preserve">适用    </w:t>
            </w:r>
            <w:r>
              <w:rPr>
                <w:rFonts w:ascii="宋体" w:hAnsi="宋体" w:eastAsia="Times New Roman"/>
                <w:color w:val="auto"/>
                <w:kern w:val="0"/>
                <w:sz w:val="18"/>
                <w:szCs w:val="18"/>
              </w:rPr>
              <w:drawing>
                <wp:inline distT="0" distB="0" distL="0" distR="0">
                  <wp:extent cx="114300" cy="114300"/>
                  <wp:effectExtent l="0" t="0" r="7620" b="7620"/>
                  <wp:docPr id="1985352823" name="图片 1985352823" descr="C:\Users\ADMINI~1.USE\AppData\Local\Temp\ksohtml11916\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352823" name="图片 1985352823" descr="C:\Users\ADMINI~1.USE\AppData\Local\Temp\ksohtml11916\wps1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auto"/>
                <w:spacing w:val="14"/>
                <w:kern w:val="0"/>
                <w:sz w:val="18"/>
                <w:szCs w:val="18"/>
              </w:rPr>
              <w:t xml:space="preserve">修改    </w:t>
            </w:r>
            <w:r>
              <w:rPr>
                <w:rFonts w:ascii="宋体" w:hAnsi="宋体" w:eastAsia="Times New Roman"/>
                <w:color w:val="auto"/>
                <w:kern w:val="0"/>
                <w:sz w:val="18"/>
                <w:szCs w:val="18"/>
              </w:rPr>
              <w:drawing>
                <wp:inline distT="0" distB="0" distL="0" distR="0">
                  <wp:extent cx="114300" cy="114300"/>
                  <wp:effectExtent l="0" t="0" r="7620" b="7620"/>
                  <wp:docPr id="1164485083" name="图片 1164485083" descr="C:\Users\ADMINI~1.USE\AppData\Local\Temp\ksohtml11916\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485083" name="图片 1164485083" descr="C:\Users\ADMINI~1.USE\AppData\Local\Temp\ksohtml11916\wps1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auto"/>
                <w:spacing w:val="14"/>
                <w:kern w:val="0"/>
                <w:sz w:val="18"/>
                <w:szCs w:val="18"/>
              </w:rPr>
              <w:t>废止</w:t>
            </w:r>
          </w:p>
        </w:tc>
      </w:tr>
      <w:tr w14:paraId="179A8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1211" w:type="dxa"/>
            <w:vMerge w:val="continue"/>
            <w:tcBorders>
              <w:top w:val="single" w:color="auto" w:sz="4" w:space="0"/>
              <w:left w:val="single" w:color="auto" w:sz="12" w:space="0"/>
              <w:bottom w:val="single" w:color="auto" w:sz="4" w:space="0"/>
              <w:right w:val="single" w:color="auto" w:sz="4" w:space="0"/>
            </w:tcBorders>
            <w:vAlign w:val="center"/>
          </w:tcPr>
          <w:p w14:paraId="6901EE41">
            <w:pPr>
              <w:widowControl/>
              <w:spacing w:line="240" w:lineRule="auto"/>
              <w:jc w:val="left"/>
              <w:rPr>
                <w:rFonts w:ascii="宋体" w:hAnsi="宋体" w:eastAsia="Times New Roman"/>
                <w:color w:val="auto"/>
                <w:kern w:val="0"/>
                <w:sz w:val="18"/>
                <w:szCs w:val="18"/>
              </w:rPr>
            </w:pPr>
          </w:p>
        </w:tc>
        <w:tc>
          <w:tcPr>
            <w:tcW w:w="1161" w:type="dxa"/>
            <w:gridSpan w:val="2"/>
            <w:tcBorders>
              <w:top w:val="single" w:color="auto" w:sz="4" w:space="0"/>
              <w:left w:val="single" w:color="auto" w:sz="4" w:space="0"/>
              <w:bottom w:val="single" w:color="000000" w:sz="2" w:space="0"/>
              <w:right w:val="single" w:color="auto" w:sz="4" w:space="0"/>
            </w:tcBorders>
            <w:vAlign w:val="center"/>
          </w:tcPr>
          <w:p w14:paraId="2B692C5F">
            <w:pPr>
              <w:widowControl/>
              <w:kinsoku w:val="0"/>
              <w:autoSpaceDE w:val="0"/>
              <w:autoSpaceDN w:val="0"/>
              <w:spacing w:line="240" w:lineRule="auto"/>
              <w:ind w:left="233"/>
              <w:jc w:val="left"/>
              <w:textAlignment w:val="baseline"/>
              <w:rPr>
                <w:rFonts w:ascii="宋体" w:hAnsi="宋体" w:eastAsia="Times New Roman"/>
                <w:color w:val="auto"/>
                <w:kern w:val="0"/>
                <w:sz w:val="18"/>
                <w:szCs w:val="18"/>
              </w:rPr>
            </w:pPr>
            <w:r>
              <w:rPr>
                <w:rFonts w:hint="eastAsia" w:ascii="宋体" w:hAnsi="宋体" w:eastAsia="Times New Roman"/>
                <w:color w:val="auto"/>
                <w:spacing w:val="4"/>
                <w:kern w:val="0"/>
                <w:position w:val="12"/>
                <w:sz w:val="18"/>
                <w:szCs w:val="18"/>
              </w:rPr>
              <w:t>具体修</w:t>
            </w:r>
          </w:p>
          <w:p w14:paraId="12F07FC9">
            <w:pPr>
              <w:widowControl/>
              <w:kinsoku w:val="0"/>
              <w:autoSpaceDE w:val="0"/>
              <w:autoSpaceDN w:val="0"/>
              <w:spacing w:line="240" w:lineRule="auto"/>
              <w:ind w:left="251"/>
              <w:jc w:val="left"/>
              <w:textAlignment w:val="baseline"/>
              <w:rPr>
                <w:rFonts w:ascii="宋体" w:hAnsi="宋体" w:eastAsia="Times New Roman"/>
                <w:color w:val="auto"/>
                <w:kern w:val="0"/>
                <w:sz w:val="18"/>
                <w:szCs w:val="18"/>
              </w:rPr>
            </w:pPr>
            <w:r>
              <w:rPr>
                <w:rFonts w:hint="eastAsia" w:ascii="宋体" w:hAnsi="宋体" w:eastAsia="Times New Roman"/>
                <w:color w:val="auto"/>
                <w:spacing w:val="-2"/>
                <w:kern w:val="0"/>
                <w:sz w:val="18"/>
                <w:szCs w:val="18"/>
              </w:rPr>
              <w:t>改意见</w:t>
            </w:r>
          </w:p>
        </w:tc>
        <w:tc>
          <w:tcPr>
            <w:tcW w:w="6685" w:type="dxa"/>
            <w:gridSpan w:val="3"/>
            <w:tcBorders>
              <w:top w:val="single" w:color="auto" w:sz="4" w:space="0"/>
              <w:left w:val="single" w:color="auto" w:sz="4" w:space="0"/>
              <w:bottom w:val="single" w:color="000000" w:sz="2" w:space="0"/>
              <w:right w:val="single" w:color="auto" w:sz="12" w:space="0"/>
            </w:tcBorders>
            <w:vAlign w:val="center"/>
          </w:tcPr>
          <w:p w14:paraId="5B46F649">
            <w:pPr>
              <w:widowControl/>
              <w:kinsoku w:val="0"/>
              <w:autoSpaceDE w:val="0"/>
              <w:autoSpaceDN w:val="0"/>
              <w:spacing w:line="240" w:lineRule="auto"/>
              <w:ind w:left="127"/>
              <w:jc w:val="left"/>
              <w:textAlignment w:val="baseline"/>
              <w:rPr>
                <w:rFonts w:ascii="宋体" w:hAnsi="宋体" w:eastAsia="Times New Roman"/>
                <w:color w:val="auto"/>
                <w:kern w:val="0"/>
                <w:sz w:val="18"/>
                <w:szCs w:val="18"/>
              </w:rPr>
            </w:pPr>
            <w:r>
              <w:rPr>
                <w:rFonts w:hint="eastAsia" w:ascii="宋体" w:hAnsi="宋体" w:eastAsia="Times New Roman"/>
                <w:color w:val="auto"/>
                <w:spacing w:val="4"/>
                <w:kern w:val="0"/>
                <w:sz w:val="18"/>
                <w:szCs w:val="18"/>
              </w:rPr>
              <w:t>需修改章节：</w:t>
            </w:r>
          </w:p>
          <w:p w14:paraId="181AB5F9">
            <w:pPr>
              <w:widowControl/>
              <w:kinsoku w:val="0"/>
              <w:autoSpaceDE w:val="0"/>
              <w:autoSpaceDN w:val="0"/>
              <w:spacing w:line="240" w:lineRule="auto"/>
              <w:ind w:left="121"/>
              <w:jc w:val="left"/>
              <w:textAlignment w:val="baseline"/>
              <w:rPr>
                <w:rFonts w:ascii="宋体" w:hAnsi="宋体" w:eastAsia="Times New Roman"/>
                <w:color w:val="auto"/>
                <w:kern w:val="0"/>
                <w:sz w:val="18"/>
                <w:szCs w:val="18"/>
              </w:rPr>
            </w:pPr>
            <w:r>
              <w:rPr>
                <w:rFonts w:hint="eastAsia" w:ascii="宋体" w:hAnsi="宋体" w:eastAsia="Times New Roman"/>
                <w:color w:val="auto"/>
                <w:spacing w:val="6"/>
                <w:kern w:val="0"/>
                <w:sz w:val="18"/>
                <w:szCs w:val="18"/>
              </w:rPr>
              <w:t>具体修改意见：</w:t>
            </w:r>
          </w:p>
        </w:tc>
      </w:tr>
      <w:tr w14:paraId="760CF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trPr>
        <w:tc>
          <w:tcPr>
            <w:tcW w:w="1211" w:type="dxa"/>
            <w:tcBorders>
              <w:top w:val="single" w:color="auto" w:sz="4" w:space="0"/>
              <w:left w:val="single" w:color="auto" w:sz="12" w:space="0"/>
              <w:bottom w:val="single" w:color="auto" w:sz="4" w:space="0"/>
              <w:right w:val="single" w:color="auto" w:sz="4" w:space="0"/>
            </w:tcBorders>
            <w:vAlign w:val="center"/>
          </w:tcPr>
          <w:p w14:paraId="2F2CF61E">
            <w:pPr>
              <w:widowControl/>
              <w:kinsoku w:val="0"/>
              <w:autoSpaceDE w:val="0"/>
              <w:autoSpaceDN w:val="0"/>
              <w:spacing w:line="240" w:lineRule="auto"/>
              <w:ind w:left="132"/>
              <w:jc w:val="left"/>
              <w:textAlignment w:val="baseline"/>
              <w:rPr>
                <w:rFonts w:ascii="宋体" w:hAnsi="宋体" w:eastAsia="Times New Roman"/>
                <w:color w:val="auto"/>
                <w:kern w:val="0"/>
                <w:sz w:val="18"/>
                <w:szCs w:val="18"/>
              </w:rPr>
            </w:pPr>
            <w:r>
              <w:rPr>
                <w:rFonts w:hint="eastAsia" w:ascii="宋体" w:hAnsi="宋体" w:eastAsia="Times New Roman"/>
                <w:color w:val="auto"/>
                <w:spacing w:val="7"/>
                <w:kern w:val="0"/>
                <w:sz w:val="18"/>
                <w:szCs w:val="18"/>
              </w:rPr>
              <w:t>反馈渠道</w:t>
            </w:r>
          </w:p>
        </w:tc>
        <w:tc>
          <w:tcPr>
            <w:tcW w:w="7846" w:type="dxa"/>
            <w:gridSpan w:val="5"/>
            <w:tcBorders>
              <w:top w:val="single" w:color="000000" w:sz="2" w:space="0"/>
              <w:left w:val="single" w:color="auto" w:sz="4" w:space="0"/>
              <w:bottom w:val="single" w:color="000000" w:sz="2" w:space="0"/>
              <w:right w:val="single" w:color="auto" w:sz="12" w:space="0"/>
            </w:tcBorders>
            <w:vAlign w:val="center"/>
          </w:tcPr>
          <w:p w14:paraId="0E7EDBA3">
            <w:pPr>
              <w:widowControl/>
              <w:kinsoku w:val="0"/>
              <w:autoSpaceDE w:val="0"/>
              <w:autoSpaceDN w:val="0"/>
              <w:spacing w:line="240" w:lineRule="auto"/>
              <w:ind w:left="127"/>
              <w:jc w:val="left"/>
              <w:textAlignment w:val="baseline"/>
              <w:rPr>
                <w:rFonts w:ascii="宋体" w:hAnsi="宋体" w:eastAsia="Times New Roman"/>
                <w:color w:val="auto"/>
                <w:spacing w:val="4"/>
                <w:kern w:val="0"/>
                <w:sz w:val="18"/>
                <w:szCs w:val="18"/>
              </w:rPr>
            </w:pPr>
            <w:r>
              <w:rPr>
                <w:rFonts w:hint="eastAsia" w:ascii="宋体" w:hAnsi="宋体" w:eastAsia="Times New Roman"/>
                <w:color w:val="auto"/>
                <w:spacing w:val="4"/>
                <w:kern w:val="0"/>
                <w:sz w:val="18"/>
                <w:szCs w:val="18"/>
              </w:rPr>
              <w:drawing>
                <wp:inline distT="0" distB="0" distL="0" distR="0">
                  <wp:extent cx="114300" cy="114300"/>
                  <wp:effectExtent l="0" t="0" r="7620" b="7620"/>
                  <wp:docPr id="112060319" name="图片 112060319" descr="C:\Users\ADMINI~1.USE\AppData\Local\Temp\ksohtml11916\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60319" name="图片 112060319" descr="C:\Users\ADMINI~1.USE\AppData\Local\Temp\ksohtml11916\wps1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auto"/>
                <w:spacing w:val="4"/>
                <w:kern w:val="0"/>
                <w:sz w:val="18"/>
                <w:szCs w:val="18"/>
              </w:rPr>
              <w:t>标准化行政主管部门</w:t>
            </w:r>
          </w:p>
          <w:p w14:paraId="207333B2">
            <w:pPr>
              <w:widowControl/>
              <w:kinsoku w:val="0"/>
              <w:autoSpaceDE w:val="0"/>
              <w:autoSpaceDN w:val="0"/>
              <w:spacing w:line="240" w:lineRule="auto"/>
              <w:ind w:left="127"/>
              <w:jc w:val="left"/>
              <w:textAlignment w:val="baseline"/>
              <w:rPr>
                <w:rFonts w:ascii="宋体" w:hAnsi="宋体" w:eastAsia="Times New Roman"/>
                <w:color w:val="auto"/>
                <w:spacing w:val="4"/>
                <w:kern w:val="0"/>
                <w:sz w:val="18"/>
                <w:szCs w:val="18"/>
              </w:rPr>
            </w:pPr>
            <w:r>
              <w:rPr>
                <w:rFonts w:hint="eastAsia" w:ascii="宋体" w:hAnsi="宋体" w:eastAsia="Times New Roman"/>
                <w:color w:val="auto"/>
                <w:spacing w:val="4"/>
                <w:kern w:val="0"/>
                <w:sz w:val="18"/>
                <w:szCs w:val="18"/>
              </w:rPr>
              <w:drawing>
                <wp:inline distT="0" distB="0" distL="0" distR="0">
                  <wp:extent cx="114300" cy="114300"/>
                  <wp:effectExtent l="0" t="0" r="7620" b="7620"/>
                  <wp:docPr id="1009581278" name="图片 1009581278" descr="C:\Users\ADMINI~1.USE\AppData\Local\Temp\ksohtml11916\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81278" name="图片 1009581278" descr="C:\Users\ADMINI~1.USE\AppData\Local\Temp\ksohtml11916\wps13.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auto"/>
                <w:spacing w:val="4"/>
                <w:kern w:val="0"/>
                <w:sz w:val="18"/>
                <w:szCs w:val="18"/>
              </w:rPr>
              <w:t>省直行业主管部门</w:t>
            </w:r>
          </w:p>
          <w:p w14:paraId="4A2B1B76">
            <w:pPr>
              <w:widowControl/>
              <w:kinsoku w:val="0"/>
              <w:autoSpaceDE w:val="0"/>
              <w:autoSpaceDN w:val="0"/>
              <w:spacing w:line="240" w:lineRule="auto"/>
              <w:ind w:left="127"/>
              <w:jc w:val="left"/>
              <w:textAlignment w:val="baseline"/>
              <w:rPr>
                <w:rFonts w:ascii="宋体" w:hAnsi="宋体" w:eastAsia="Times New Roman"/>
                <w:color w:val="auto"/>
                <w:spacing w:val="4"/>
                <w:kern w:val="0"/>
                <w:sz w:val="18"/>
                <w:szCs w:val="18"/>
              </w:rPr>
            </w:pPr>
            <w:r>
              <w:rPr>
                <w:rFonts w:hint="eastAsia" w:ascii="宋体" w:hAnsi="宋体" w:eastAsia="Times New Roman"/>
                <w:color w:val="auto"/>
                <w:spacing w:val="4"/>
                <w:kern w:val="0"/>
                <w:sz w:val="18"/>
                <w:szCs w:val="18"/>
              </w:rPr>
              <w:drawing>
                <wp:inline distT="0" distB="0" distL="0" distR="0">
                  <wp:extent cx="114300" cy="114300"/>
                  <wp:effectExtent l="0" t="0" r="7620" b="7620"/>
                  <wp:docPr id="35893338" name="图片 35893338" descr="C:\Users\ADMINI~1.USE\AppData\Local\Temp\ksohtml11916\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93338" name="图片 35893338" descr="C:\Users\ADMINI~1.USE\AppData\Local\Temp\ksohtml11916\wps14.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auto"/>
                <w:spacing w:val="4"/>
                <w:kern w:val="0"/>
                <w:sz w:val="18"/>
                <w:szCs w:val="18"/>
              </w:rPr>
              <w:t>专业标准化技术委员会（工作组）</w:t>
            </w:r>
          </w:p>
          <w:p w14:paraId="1EAFF5E3">
            <w:pPr>
              <w:widowControl/>
              <w:kinsoku w:val="0"/>
              <w:autoSpaceDE w:val="0"/>
              <w:autoSpaceDN w:val="0"/>
              <w:spacing w:line="240" w:lineRule="auto"/>
              <w:ind w:left="127"/>
              <w:jc w:val="left"/>
              <w:textAlignment w:val="baseline"/>
              <w:rPr>
                <w:rFonts w:ascii="宋体" w:hAnsi="宋体" w:eastAsia="Times New Roman"/>
                <w:color w:val="auto"/>
                <w:spacing w:val="4"/>
                <w:kern w:val="0"/>
                <w:sz w:val="18"/>
                <w:szCs w:val="18"/>
              </w:rPr>
            </w:pPr>
            <w:r>
              <w:rPr>
                <w:rFonts w:hint="eastAsia" w:ascii="宋体" w:hAnsi="宋体" w:eastAsia="Times New Roman"/>
                <w:color w:val="auto"/>
                <w:spacing w:val="4"/>
                <w:kern w:val="0"/>
                <w:sz w:val="18"/>
                <w:szCs w:val="18"/>
              </w:rPr>
              <w:drawing>
                <wp:inline distT="0" distB="0" distL="0" distR="0">
                  <wp:extent cx="114300" cy="114300"/>
                  <wp:effectExtent l="0" t="0" r="7620" b="7620"/>
                  <wp:docPr id="722894586" name="图片 722894586" descr="C:\Users\ADMINI~1.USE\AppData\Local\Temp\ksohtml11916\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894586" name="图片 722894586" descr="C:\Users\ADMINI~1.USE\AppData\Local\Temp\ksohtml11916\wps1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auto"/>
                <w:spacing w:val="4"/>
                <w:kern w:val="0"/>
                <w:sz w:val="18"/>
                <w:szCs w:val="18"/>
              </w:rPr>
              <w:t>标准起草组（牵头起草单位）</w:t>
            </w:r>
          </w:p>
        </w:tc>
      </w:tr>
      <w:tr w14:paraId="54940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trPr>
        <w:tc>
          <w:tcPr>
            <w:tcW w:w="1211" w:type="dxa"/>
            <w:tcBorders>
              <w:top w:val="single" w:color="auto" w:sz="4" w:space="0"/>
              <w:left w:val="single" w:color="auto" w:sz="12" w:space="0"/>
              <w:bottom w:val="single" w:color="auto" w:sz="12" w:space="0"/>
              <w:right w:val="single" w:color="auto" w:sz="4" w:space="0"/>
            </w:tcBorders>
            <w:vAlign w:val="center"/>
          </w:tcPr>
          <w:p w14:paraId="3733A40D">
            <w:pPr>
              <w:widowControl/>
              <w:kinsoku w:val="0"/>
              <w:autoSpaceDE w:val="0"/>
              <w:autoSpaceDN w:val="0"/>
              <w:spacing w:line="240" w:lineRule="auto"/>
              <w:ind w:left="252"/>
              <w:jc w:val="left"/>
              <w:textAlignment w:val="baseline"/>
              <w:rPr>
                <w:rFonts w:ascii="宋体" w:hAnsi="宋体" w:eastAsia="Times New Roman"/>
                <w:color w:val="auto"/>
                <w:kern w:val="0"/>
                <w:sz w:val="18"/>
                <w:szCs w:val="18"/>
              </w:rPr>
            </w:pPr>
            <w:r>
              <w:rPr>
                <w:rFonts w:hint="eastAsia" w:ascii="宋体" w:hAnsi="宋体" w:eastAsia="Times New Roman"/>
                <w:color w:val="auto"/>
                <w:spacing w:val="6"/>
                <w:kern w:val="0"/>
                <w:sz w:val="18"/>
                <w:szCs w:val="18"/>
              </w:rPr>
              <w:t>反馈人</w:t>
            </w:r>
          </w:p>
        </w:tc>
        <w:tc>
          <w:tcPr>
            <w:tcW w:w="7846" w:type="dxa"/>
            <w:gridSpan w:val="5"/>
            <w:tcBorders>
              <w:top w:val="single" w:color="000000" w:sz="2" w:space="0"/>
              <w:left w:val="single" w:color="auto" w:sz="4" w:space="0"/>
              <w:bottom w:val="single" w:color="auto" w:sz="12" w:space="0"/>
              <w:right w:val="single" w:color="auto" w:sz="12" w:space="0"/>
            </w:tcBorders>
            <w:vAlign w:val="center"/>
          </w:tcPr>
          <w:p w14:paraId="24891A57">
            <w:pPr>
              <w:widowControl/>
              <w:kinsoku w:val="0"/>
              <w:autoSpaceDE w:val="0"/>
              <w:autoSpaceDN w:val="0"/>
              <w:spacing w:line="240" w:lineRule="auto"/>
              <w:ind w:left="113"/>
              <w:jc w:val="left"/>
              <w:textAlignment w:val="baseline"/>
              <w:rPr>
                <w:rFonts w:ascii="宋体" w:hAnsi="宋体" w:eastAsia="Times New Roman"/>
                <w:color w:val="auto"/>
                <w:kern w:val="0"/>
                <w:sz w:val="18"/>
                <w:szCs w:val="18"/>
              </w:rPr>
            </w:pPr>
            <w:r>
              <w:rPr>
                <w:rFonts w:hint="eastAsia" w:ascii="宋体" w:hAnsi="宋体" w:eastAsia="Times New Roman"/>
                <w:color w:val="auto"/>
                <w:spacing w:val="2"/>
                <w:kern w:val="0"/>
                <w:sz w:val="18"/>
                <w:szCs w:val="18"/>
              </w:rPr>
              <w:t>姓名：</w:t>
            </w:r>
            <w:r>
              <w:rPr>
                <w:rFonts w:hint="eastAsia" w:ascii="宋体" w:hAnsi="宋体" w:eastAsia="Times New Roman"/>
                <w:color w:val="auto"/>
                <w:spacing w:val="8"/>
                <w:kern w:val="0"/>
                <w:sz w:val="18"/>
                <w:szCs w:val="18"/>
              </w:rPr>
              <w:t xml:space="preserve">           </w:t>
            </w:r>
            <w:r>
              <w:rPr>
                <w:rFonts w:hint="eastAsia" w:ascii="宋体" w:hAnsi="宋体" w:eastAsia="Times New Roman"/>
                <w:color w:val="auto"/>
                <w:spacing w:val="2"/>
                <w:kern w:val="0"/>
                <w:sz w:val="18"/>
                <w:szCs w:val="18"/>
              </w:rPr>
              <w:t>单位：</w:t>
            </w:r>
            <w:r>
              <w:rPr>
                <w:rFonts w:hint="eastAsia" w:ascii="宋体" w:hAnsi="宋体" w:eastAsia="Times New Roman"/>
                <w:color w:val="auto"/>
                <w:spacing w:val="1"/>
                <w:kern w:val="0"/>
                <w:sz w:val="18"/>
                <w:szCs w:val="18"/>
              </w:rPr>
              <w:t xml:space="preserve">                      </w:t>
            </w:r>
            <w:r>
              <w:rPr>
                <w:rFonts w:hint="eastAsia" w:ascii="宋体" w:hAnsi="宋体" w:eastAsia="Times New Roman"/>
                <w:color w:val="auto"/>
                <w:spacing w:val="2"/>
                <w:kern w:val="0"/>
                <w:sz w:val="18"/>
                <w:szCs w:val="18"/>
              </w:rPr>
              <w:t>联系方式：</w:t>
            </w:r>
          </w:p>
        </w:tc>
      </w:tr>
    </w:tbl>
    <w:p w14:paraId="27F3F0A5">
      <w:pPr>
        <w:ind w:firstLine="360" w:firstLineChars="200"/>
        <w:rPr>
          <w:rFonts w:hint="eastAsia" w:ascii="宋体" w:hAnsi="宋体" w:cs="宋体"/>
          <w:color w:val="auto"/>
          <w:sz w:val="18"/>
          <w:szCs w:val="18"/>
        </w:rPr>
      </w:pPr>
      <w:r>
        <w:rPr>
          <w:rFonts w:hint="eastAsia" w:ascii="宋体" w:hAnsi="宋体" w:cs="宋体"/>
          <w:color w:val="auto"/>
          <w:sz w:val="18"/>
          <w:szCs w:val="18"/>
        </w:rPr>
        <w:t>填表说明：为及时掌握标准实施情况，了解地方标准实施过程中存在的问题，并为标准复审提供科学依据，特制定《湖北省地方标准实施信息及意见反馈表》。可根据实际情况在表格中对应方框打勾，有需要文字说明的反馈意见可在相应位置进行文字描述，也可另附页。</w:t>
      </w:r>
    </w:p>
    <w:p w14:paraId="26703B58">
      <w:pPr>
        <w:rPr>
          <w:color w:val="auto"/>
        </w:rPr>
      </w:pPr>
    </w:p>
    <w:p w14:paraId="12B929DC">
      <w:pPr>
        <w:rPr>
          <w:color w:val="auto"/>
        </w:rPr>
      </w:pPr>
    </w:p>
    <w:p w14:paraId="219A2E8A">
      <w:pPr>
        <w:pStyle w:val="30"/>
        <w:spacing w:line="360" w:lineRule="auto"/>
        <w:ind w:firstLine="0" w:firstLineChars="0"/>
        <w:rPr>
          <w:rFonts w:hAnsi="宋体"/>
          <w:color w:val="auto"/>
          <w:highlight w:val="none"/>
        </w:rPr>
      </w:pPr>
      <w:r>
        <w:rPr>
          <w:rFonts w:hAnsi="宋体"/>
          <w:color w:val="auto"/>
          <w:highlight w:val="none"/>
        </w:rPr>
        <w:pict>
          <v:rect id="_x0000_i1025" o:spt="1" style="height:1.7pt;width:99.65pt;" fillcolor="#000000" filled="t" stroked="f" coordsize="21600,21600" o:hr="t" o:hrstd="t" o:hrnoshade="t" o:hrpct="240" o:hralign="center">
            <v:path/>
            <v:fill on="t" focussize="0,0"/>
            <v:stroke on="f"/>
            <v:imagedata o:title=""/>
            <o:lock v:ext="edit"/>
            <w10:wrap type="none"/>
            <w10:anchorlock/>
          </v:rect>
        </w:pict>
      </w:r>
    </w:p>
    <w:p w14:paraId="1C09C268">
      <w:pPr>
        <w:pStyle w:val="30"/>
        <w:spacing w:line="360" w:lineRule="auto"/>
        <w:ind w:firstLine="0" w:firstLineChars="0"/>
        <w:rPr>
          <w:rFonts w:hAnsi="宋体"/>
          <w:color w:val="auto"/>
          <w:highlight w:val="none"/>
        </w:rPr>
      </w:pPr>
    </w:p>
    <w:p w14:paraId="1440FE6D">
      <w:pPr>
        <w:pStyle w:val="30"/>
        <w:spacing w:line="360" w:lineRule="auto"/>
        <w:ind w:firstLine="0" w:firstLineChars="0"/>
        <w:rPr>
          <w:rFonts w:hAnsi="宋体"/>
          <w:color w:val="auto"/>
          <w:highlight w:val="none"/>
        </w:rPr>
      </w:pPr>
    </w:p>
    <w:p w14:paraId="7982BDCC">
      <w:pPr>
        <w:pStyle w:val="30"/>
        <w:spacing w:line="360" w:lineRule="auto"/>
        <w:ind w:firstLine="0" w:firstLineChars="0"/>
        <w:rPr>
          <w:rFonts w:hAnsi="宋体"/>
          <w:color w:val="auto"/>
          <w:highlight w:val="none"/>
        </w:rPr>
      </w:pPr>
    </w:p>
    <w:p w14:paraId="3405735D">
      <w:pPr>
        <w:pStyle w:val="30"/>
        <w:spacing w:line="360" w:lineRule="auto"/>
        <w:ind w:firstLine="0" w:firstLineChars="0"/>
        <w:rPr>
          <w:rFonts w:hAnsi="宋体"/>
          <w:color w:val="auto"/>
          <w:highlight w:val="none"/>
        </w:rPr>
      </w:pPr>
    </w:p>
    <w:p w14:paraId="242BBEA3">
      <w:pPr>
        <w:pStyle w:val="30"/>
        <w:spacing w:line="360" w:lineRule="auto"/>
        <w:ind w:firstLine="0" w:firstLineChars="0"/>
        <w:jc w:val="center"/>
        <w:rPr>
          <w:rFonts w:hint="eastAsia" w:ascii="黑体" w:hAnsi="黑体" w:eastAsia="黑体" w:cs="黑体"/>
          <w:color w:val="auto"/>
          <w:sz w:val="36"/>
          <w:szCs w:val="36"/>
          <w:highlight w:val="none"/>
          <w:lang w:val="en-US" w:eastAsia="zh-CN"/>
        </w:rPr>
      </w:pPr>
      <w:r>
        <w:rPr>
          <w:rFonts w:hint="eastAsia" w:ascii="黑体" w:hAnsi="黑体" w:eastAsia="黑体" w:cs="黑体"/>
          <w:color w:val="auto"/>
          <w:sz w:val="36"/>
          <w:szCs w:val="36"/>
          <w:highlight w:val="none"/>
          <w:lang w:val="en-US" w:eastAsia="zh-CN"/>
        </w:rPr>
        <w:t>湖北省地方标准</w:t>
      </w:r>
    </w:p>
    <w:p w14:paraId="2BE8CD25">
      <w:pPr>
        <w:pStyle w:val="30"/>
        <w:spacing w:line="360" w:lineRule="auto"/>
        <w:ind w:firstLine="0" w:firstLineChars="0"/>
        <w:jc w:val="center"/>
        <w:rPr>
          <w:rFonts w:hint="eastAsia" w:ascii="黑体" w:hAnsi="黑体" w:eastAsia="黑体" w:cs="黑体"/>
          <w:color w:val="auto"/>
          <w:sz w:val="36"/>
          <w:szCs w:val="36"/>
          <w:highlight w:val="none"/>
          <w:lang w:val="en-US" w:eastAsia="zh-CN"/>
        </w:rPr>
      </w:pPr>
      <w:r>
        <w:rPr>
          <w:rFonts w:hint="eastAsia" w:ascii="黑体" w:hAnsi="黑体" w:eastAsia="黑体" w:cs="黑体"/>
          <w:color w:val="auto"/>
          <w:sz w:val="36"/>
          <w:szCs w:val="36"/>
          <w:highlight w:val="none"/>
          <w:lang w:val="en-US" w:eastAsia="zh-CN"/>
        </w:rPr>
        <w:t>DBXX/T XXXX—2025</w:t>
      </w:r>
    </w:p>
    <w:p w14:paraId="5F2059DA">
      <w:pPr>
        <w:pStyle w:val="30"/>
        <w:spacing w:line="360" w:lineRule="auto"/>
        <w:ind w:firstLine="0" w:firstLineChars="0"/>
        <w:jc w:val="center"/>
        <w:rPr>
          <w:rFonts w:hint="eastAsia" w:ascii="黑体" w:hAnsi="黑体" w:eastAsia="黑体" w:cs="黑体"/>
          <w:color w:val="auto"/>
          <w:sz w:val="36"/>
          <w:szCs w:val="36"/>
          <w:highlight w:val="none"/>
          <w:lang w:val="en-US" w:eastAsia="zh-CN"/>
        </w:rPr>
      </w:pPr>
    </w:p>
    <w:p w14:paraId="5D7BC180">
      <w:pPr>
        <w:pStyle w:val="30"/>
        <w:spacing w:line="360" w:lineRule="auto"/>
        <w:ind w:firstLine="0" w:firstLineChars="0"/>
        <w:jc w:val="center"/>
        <w:rPr>
          <w:rFonts w:hint="eastAsia" w:ascii="黑体" w:hAnsi="黑体" w:eastAsia="黑体" w:cs="黑体"/>
          <w:color w:val="auto"/>
          <w:sz w:val="36"/>
          <w:szCs w:val="36"/>
          <w:highlight w:val="none"/>
          <w:lang w:val="en-US" w:eastAsia="zh-CN"/>
        </w:rPr>
      </w:pPr>
    </w:p>
    <w:p w14:paraId="55C46DB9">
      <w:pPr>
        <w:pStyle w:val="30"/>
        <w:spacing w:line="360" w:lineRule="auto"/>
        <w:ind w:firstLine="0" w:firstLineChars="0"/>
        <w:jc w:val="center"/>
        <w:rPr>
          <w:rFonts w:hint="eastAsia" w:ascii="黑体" w:hAnsi="黑体" w:eastAsia="黑体" w:cs="黑体"/>
          <w:color w:val="auto"/>
          <w:sz w:val="36"/>
          <w:szCs w:val="36"/>
          <w:highlight w:val="none"/>
          <w:lang w:val="en-US" w:eastAsia="zh-CN"/>
        </w:rPr>
      </w:pPr>
      <w:r>
        <w:rPr>
          <w:rFonts w:hint="eastAsia" w:ascii="黑体" w:hAnsi="黑体" w:eastAsia="黑体" w:cs="黑体"/>
          <w:color w:val="auto"/>
          <w:sz w:val="36"/>
          <w:szCs w:val="36"/>
          <w:highlight w:val="none"/>
          <w:lang w:val="en-US" w:eastAsia="zh-CN"/>
        </w:rPr>
        <w:t>排水系统工程数智清污分流技术标准</w:t>
      </w:r>
    </w:p>
    <w:p w14:paraId="620E46E4">
      <w:pPr>
        <w:pStyle w:val="30"/>
        <w:spacing w:line="360" w:lineRule="auto"/>
        <w:ind w:firstLine="0" w:firstLineChars="0"/>
        <w:jc w:val="center"/>
        <w:rPr>
          <w:rFonts w:hint="eastAsia" w:ascii="黑体" w:hAnsi="黑体" w:eastAsia="黑体" w:cs="黑体"/>
          <w:color w:val="auto"/>
          <w:sz w:val="36"/>
          <w:szCs w:val="36"/>
          <w:highlight w:val="none"/>
          <w:lang w:val="en-US" w:eastAsia="zh-CN"/>
        </w:rPr>
      </w:pPr>
    </w:p>
    <w:p w14:paraId="284411B8">
      <w:pPr>
        <w:pStyle w:val="30"/>
        <w:spacing w:line="360" w:lineRule="auto"/>
        <w:ind w:firstLine="0" w:firstLineChars="0"/>
        <w:jc w:val="center"/>
        <w:rPr>
          <w:rFonts w:hint="eastAsia" w:ascii="黑体" w:hAnsi="黑体" w:eastAsia="黑体" w:cs="黑体"/>
          <w:color w:val="auto"/>
          <w:sz w:val="36"/>
          <w:szCs w:val="36"/>
          <w:highlight w:val="none"/>
          <w:lang w:val="en-US" w:eastAsia="zh-CN"/>
        </w:rPr>
      </w:pPr>
    </w:p>
    <w:p w14:paraId="29C7BD4D">
      <w:pPr>
        <w:pStyle w:val="30"/>
        <w:spacing w:line="360" w:lineRule="auto"/>
        <w:ind w:firstLine="0" w:firstLineChars="0"/>
        <w:jc w:val="center"/>
        <w:rPr>
          <w:rFonts w:hint="eastAsia" w:ascii="黑体" w:hAnsi="黑体" w:eastAsia="黑体" w:cs="黑体"/>
          <w:color w:val="auto"/>
          <w:sz w:val="36"/>
          <w:szCs w:val="36"/>
          <w:highlight w:val="none"/>
          <w:lang w:val="en-US" w:eastAsia="zh-CN"/>
        </w:rPr>
      </w:pPr>
    </w:p>
    <w:p w14:paraId="318EFF38">
      <w:pPr>
        <w:pStyle w:val="30"/>
        <w:spacing w:line="360" w:lineRule="auto"/>
        <w:ind w:firstLine="0" w:firstLineChars="0"/>
        <w:jc w:val="center"/>
        <w:outlineLvl w:val="0"/>
        <w:rPr>
          <w:rFonts w:hint="default" w:ascii="黑体" w:hAnsi="黑体" w:eastAsia="黑体" w:cs="黑体"/>
          <w:color w:val="auto"/>
          <w:sz w:val="36"/>
          <w:szCs w:val="36"/>
          <w:highlight w:val="none"/>
          <w:lang w:val="en-US" w:eastAsia="zh-CN"/>
        </w:rPr>
      </w:pPr>
      <w:bookmarkStart w:id="149" w:name="_Toc32122"/>
      <w:r>
        <w:rPr>
          <w:rFonts w:hint="eastAsia" w:ascii="黑体" w:hAnsi="黑体" w:eastAsia="黑体" w:cs="黑体"/>
          <w:color w:val="auto"/>
          <w:sz w:val="36"/>
          <w:szCs w:val="36"/>
          <w:highlight w:val="none"/>
          <w:lang w:val="en-US" w:eastAsia="zh-CN"/>
        </w:rPr>
        <w:t>条文说明</w:t>
      </w:r>
      <w:bookmarkEnd w:id="149"/>
    </w:p>
    <w:p w14:paraId="4C4DCDDB">
      <w:pPr>
        <w:pStyle w:val="30"/>
        <w:spacing w:line="360" w:lineRule="auto"/>
        <w:ind w:firstLine="0" w:firstLineChars="0"/>
        <w:jc w:val="center"/>
        <w:rPr>
          <w:rFonts w:hint="eastAsia" w:ascii="黑体" w:hAnsi="黑体" w:eastAsia="黑体" w:cs="黑体"/>
          <w:color w:val="auto"/>
          <w:sz w:val="36"/>
          <w:szCs w:val="36"/>
          <w:highlight w:val="none"/>
          <w:lang w:val="en-US" w:eastAsia="zh-CN"/>
        </w:rPr>
      </w:pPr>
    </w:p>
    <w:p w14:paraId="1806FE3D">
      <w:pPr>
        <w:pStyle w:val="30"/>
        <w:spacing w:line="360" w:lineRule="auto"/>
        <w:ind w:firstLine="0" w:firstLineChars="0"/>
        <w:jc w:val="center"/>
        <w:rPr>
          <w:rFonts w:hint="eastAsia" w:ascii="黑体" w:hAnsi="黑体" w:eastAsia="黑体" w:cs="黑体"/>
          <w:color w:val="auto"/>
          <w:sz w:val="36"/>
          <w:szCs w:val="36"/>
          <w:highlight w:val="none"/>
          <w:lang w:val="en-US" w:eastAsia="zh-CN"/>
        </w:rPr>
      </w:pPr>
    </w:p>
    <w:p w14:paraId="77B352FA">
      <w:pPr>
        <w:pStyle w:val="30"/>
        <w:spacing w:line="360" w:lineRule="auto"/>
        <w:ind w:firstLine="0" w:firstLineChars="0"/>
        <w:jc w:val="center"/>
        <w:rPr>
          <w:rFonts w:hint="eastAsia" w:ascii="黑体" w:hAnsi="黑体" w:eastAsia="黑体" w:cs="黑体"/>
          <w:color w:val="auto"/>
          <w:sz w:val="36"/>
          <w:szCs w:val="36"/>
          <w:highlight w:val="none"/>
          <w:lang w:val="en-US" w:eastAsia="zh-CN"/>
        </w:rPr>
      </w:pPr>
    </w:p>
    <w:p w14:paraId="73C4B8CD">
      <w:pPr>
        <w:pStyle w:val="30"/>
        <w:spacing w:line="360" w:lineRule="auto"/>
        <w:ind w:firstLine="0" w:firstLineChars="0"/>
        <w:jc w:val="center"/>
        <w:rPr>
          <w:rFonts w:hint="eastAsia" w:ascii="黑体" w:hAnsi="黑体" w:eastAsia="黑体" w:cs="黑体"/>
          <w:color w:val="auto"/>
          <w:sz w:val="36"/>
          <w:szCs w:val="36"/>
          <w:highlight w:val="none"/>
          <w:lang w:val="en-US" w:eastAsia="zh-CN"/>
        </w:rPr>
      </w:pPr>
    </w:p>
    <w:p w14:paraId="34B1EA1E">
      <w:pPr>
        <w:pStyle w:val="30"/>
        <w:spacing w:line="360" w:lineRule="auto"/>
        <w:ind w:firstLine="0" w:firstLineChars="0"/>
        <w:jc w:val="center"/>
        <w:rPr>
          <w:rFonts w:hint="eastAsia" w:ascii="黑体" w:hAnsi="黑体" w:eastAsia="黑体" w:cs="黑体"/>
          <w:color w:val="auto"/>
          <w:sz w:val="36"/>
          <w:szCs w:val="36"/>
          <w:highlight w:val="none"/>
          <w:lang w:val="en-US" w:eastAsia="zh-CN"/>
        </w:rPr>
      </w:pPr>
    </w:p>
    <w:p w14:paraId="043C210F">
      <w:pPr>
        <w:pStyle w:val="30"/>
        <w:spacing w:line="360" w:lineRule="auto"/>
        <w:ind w:firstLine="0" w:firstLineChars="0"/>
        <w:jc w:val="center"/>
        <w:rPr>
          <w:rFonts w:hint="eastAsia" w:ascii="黑体" w:hAnsi="黑体" w:eastAsia="黑体" w:cs="黑体"/>
          <w:color w:val="auto"/>
          <w:sz w:val="36"/>
          <w:szCs w:val="36"/>
          <w:highlight w:val="none"/>
          <w:lang w:val="en-US" w:eastAsia="zh-CN"/>
        </w:rPr>
      </w:pPr>
    </w:p>
    <w:p w14:paraId="0C4011C2">
      <w:pPr>
        <w:pStyle w:val="30"/>
        <w:spacing w:line="360" w:lineRule="auto"/>
        <w:ind w:firstLine="0" w:firstLineChars="0"/>
        <w:jc w:val="center"/>
        <w:rPr>
          <w:rFonts w:hint="eastAsia" w:ascii="黑体" w:hAnsi="黑体" w:eastAsia="黑体" w:cs="黑体"/>
          <w:color w:val="auto"/>
          <w:sz w:val="36"/>
          <w:szCs w:val="36"/>
          <w:highlight w:val="none"/>
          <w:lang w:val="en-US" w:eastAsia="zh-CN"/>
        </w:rPr>
      </w:pPr>
    </w:p>
    <w:p w14:paraId="00FECFBD">
      <w:pPr>
        <w:pStyle w:val="30"/>
        <w:spacing w:line="360" w:lineRule="auto"/>
        <w:ind w:firstLine="0" w:firstLineChars="0"/>
        <w:jc w:val="center"/>
        <w:rPr>
          <w:rFonts w:hint="eastAsia" w:ascii="黑体" w:hAnsi="黑体" w:eastAsia="黑体" w:cs="黑体"/>
          <w:color w:val="auto"/>
          <w:sz w:val="36"/>
          <w:szCs w:val="36"/>
          <w:highlight w:val="none"/>
          <w:lang w:val="en-US" w:eastAsia="zh-CN"/>
        </w:rPr>
      </w:pPr>
    </w:p>
    <w:p w14:paraId="7EA96DA3">
      <w:pPr>
        <w:pStyle w:val="30"/>
        <w:spacing w:line="360" w:lineRule="auto"/>
        <w:ind w:firstLine="0" w:firstLineChars="0"/>
        <w:jc w:val="center"/>
        <w:rPr>
          <w:rFonts w:hint="eastAsia" w:ascii="黑体" w:hAnsi="黑体" w:eastAsia="黑体" w:cs="黑体"/>
          <w:color w:val="auto"/>
          <w:sz w:val="36"/>
          <w:szCs w:val="36"/>
          <w:highlight w:val="none"/>
          <w:lang w:val="en-US" w:eastAsia="zh-CN"/>
        </w:rPr>
      </w:pPr>
    </w:p>
    <w:p w14:paraId="76A9D37C">
      <w:pPr>
        <w:pStyle w:val="30"/>
        <w:spacing w:line="360" w:lineRule="auto"/>
        <w:ind w:firstLine="0" w:firstLineChars="0"/>
        <w:jc w:val="center"/>
        <w:rPr>
          <w:rFonts w:hint="eastAsia" w:ascii="黑体" w:hAnsi="黑体" w:eastAsia="黑体" w:cs="黑体"/>
          <w:color w:val="auto"/>
          <w:sz w:val="36"/>
          <w:szCs w:val="36"/>
          <w:highlight w:val="none"/>
          <w:lang w:val="en-US" w:eastAsia="zh-CN"/>
        </w:rPr>
      </w:pPr>
    </w:p>
    <w:p w14:paraId="5DB52C8C">
      <w:pPr>
        <w:numPr>
          <w:ilvl w:val="0"/>
          <w:numId w:val="0"/>
        </w:numPr>
        <w:spacing w:before="312" w:beforeLines="100" w:after="312" w:afterLines="100"/>
        <w:ind w:leftChars="0"/>
        <w:jc w:val="left"/>
        <w:outlineLvl w:val="1"/>
        <w:rPr>
          <w:rFonts w:ascii="黑体" w:hAnsi="黑体" w:eastAsia="黑体" w:cs="黑体"/>
          <w:sz w:val="21"/>
          <w:szCs w:val="21"/>
          <w:lang w:val="en-US" w:eastAsia="zh-CN" w:bidi="ar-SA"/>
        </w:rPr>
      </w:pPr>
      <w:bookmarkStart w:id="150" w:name="_Toc13825"/>
      <w:r>
        <w:rPr>
          <w:rFonts w:hint="eastAsia" w:ascii="黑体" w:hAnsi="黑体" w:eastAsia="黑体" w:cs="黑体"/>
          <w:sz w:val="21"/>
          <w:szCs w:val="21"/>
          <w:lang w:val="en-US" w:eastAsia="zh-CN" w:bidi="ar-SA"/>
        </w:rPr>
        <w:t>4  基本规定</w:t>
      </w:r>
      <w:bookmarkEnd w:id="150"/>
    </w:p>
    <w:p w14:paraId="38CE0F92">
      <w:pPr>
        <w:pStyle w:val="40"/>
        <w:spacing w:beforeLines="-2147483648" w:afterLines="-2147483648" w:line="480" w:lineRule="auto"/>
        <w:ind w:left="0"/>
        <w:outlineLvl w:val="3"/>
        <w:rPr>
          <w:rFonts w:hint="eastAsia" w:ascii="Times New Roman" w:hAnsi="Times New Roman" w:cs="Times New Roman"/>
          <w:kern w:val="0"/>
          <w:szCs w:val="20"/>
        </w:rPr>
      </w:pPr>
      <w:r>
        <w:rPr>
          <w:rFonts w:hint="eastAsia" w:ascii="Times New Roman" w:hAnsi="Times New Roman" w:cs="Times New Roman"/>
          <w:kern w:val="0"/>
          <w:szCs w:val="20"/>
        </w:rPr>
        <w:t>4.1 一般规定</w:t>
      </w:r>
    </w:p>
    <w:p w14:paraId="2C67607C">
      <w:pPr>
        <w:pStyle w:val="41"/>
        <w:ind w:left="0" w:leftChars="0" w:firstLine="0" w:firstLineChars="0"/>
        <w:rPr>
          <w:rFonts w:hint="eastAsia" w:hAnsi="宋体" w:eastAsia="宋体" w:cs="宋体"/>
          <w:sz w:val="21"/>
          <w:szCs w:val="21"/>
          <w:lang w:val="en-US" w:eastAsia="zh-CN"/>
        </w:rPr>
      </w:pPr>
      <w:r>
        <w:rPr>
          <w:rFonts w:hint="eastAsia" w:hAnsi="宋体" w:eastAsia="宋体" w:cs="宋体"/>
          <w:sz w:val="21"/>
          <w:szCs w:val="21"/>
        </w:rPr>
        <w:t>4.1.1 《城镇水务2035年行业发展规划纲要》提出了末来15年我国城镇水务行业的发展方向，提出构建“安全、放心的现代化城镇水务系统”</w:t>
      </w:r>
      <w:r>
        <w:rPr>
          <w:rFonts w:hint="eastAsia" w:hAnsi="宋体" w:eastAsia="宋体" w:cs="宋体"/>
          <w:sz w:val="21"/>
          <w:szCs w:val="21"/>
          <w:lang w:eastAsia="zh-CN"/>
        </w:rPr>
        <w:t>、</w:t>
      </w:r>
      <w:r>
        <w:rPr>
          <w:rFonts w:hint="eastAsia" w:hAnsi="宋体" w:eastAsia="宋体" w:cs="宋体"/>
          <w:sz w:val="21"/>
          <w:szCs w:val="21"/>
        </w:rPr>
        <w:t>“绿色、经济的现代化</w:t>
      </w:r>
      <w:r>
        <w:rPr>
          <w:rFonts w:hint="eastAsia" w:hAnsi="宋体" w:eastAsia="宋体" w:cs="宋体"/>
          <w:sz w:val="21"/>
          <w:szCs w:val="21"/>
          <w:lang w:val="en-US" w:eastAsia="zh-CN"/>
        </w:rPr>
        <w:t>城镇水务系统</w:t>
      </w:r>
      <w:r>
        <w:rPr>
          <w:rFonts w:hint="eastAsia" w:hAnsi="宋体" w:eastAsia="宋体" w:cs="宋体"/>
          <w:sz w:val="21"/>
          <w:szCs w:val="21"/>
        </w:rPr>
        <w:t>”</w:t>
      </w:r>
      <w:r>
        <w:rPr>
          <w:rFonts w:hint="eastAsia" w:hAnsi="宋体" w:eastAsia="宋体" w:cs="宋体"/>
          <w:sz w:val="21"/>
          <w:szCs w:val="21"/>
          <w:lang w:eastAsia="zh-CN"/>
        </w:rPr>
        <w:t>、</w:t>
      </w:r>
      <w:r>
        <w:rPr>
          <w:rFonts w:hint="eastAsia" w:hAnsi="宋体" w:eastAsia="宋体" w:cs="宋体"/>
          <w:sz w:val="21"/>
          <w:szCs w:val="21"/>
        </w:rPr>
        <w:t>“智慧、高效的现代化城镇水务系统”等3大发展</w:t>
      </w:r>
      <w:r>
        <w:rPr>
          <w:rFonts w:hint="eastAsia" w:hAnsi="宋体" w:eastAsia="宋体" w:cs="宋体"/>
          <w:sz w:val="21"/>
          <w:szCs w:val="21"/>
          <w:lang w:val="en-US" w:eastAsia="zh-CN"/>
        </w:rPr>
        <w:t>目标，旨</w:t>
      </w:r>
      <w:r>
        <w:rPr>
          <w:rFonts w:hint="eastAsia" w:hAnsi="宋体" w:eastAsia="宋体" w:cs="宋体"/>
          <w:sz w:val="21"/>
          <w:szCs w:val="21"/>
        </w:rPr>
        <w:t>在全面提升全流程水务基础设施的安全保障能力，进一</w:t>
      </w:r>
      <w:r>
        <w:rPr>
          <w:rFonts w:hint="eastAsia" w:hAnsi="宋体" w:eastAsia="宋体" w:cs="宋体"/>
          <w:sz w:val="21"/>
          <w:szCs w:val="21"/>
          <w:lang w:val="en-US" w:eastAsia="zh-CN"/>
        </w:rPr>
        <w:t>步</w:t>
      </w:r>
      <w:r>
        <w:rPr>
          <w:rFonts w:hint="eastAsia" w:hAnsi="宋体" w:eastAsia="宋体" w:cs="宋体"/>
          <w:sz w:val="21"/>
          <w:szCs w:val="21"/>
        </w:rPr>
        <w:t>加</w:t>
      </w:r>
      <w:r>
        <w:rPr>
          <w:rFonts w:hint="eastAsia" w:hAnsi="宋体" w:eastAsia="宋体" w:cs="宋体"/>
          <w:sz w:val="21"/>
          <w:szCs w:val="21"/>
          <w:lang w:val="en-US" w:eastAsia="zh-CN"/>
        </w:rPr>
        <w:t>强精细化</w:t>
      </w:r>
      <w:r>
        <w:rPr>
          <w:rFonts w:hint="eastAsia" w:hAnsi="宋体" w:eastAsia="宋体" w:cs="宋体"/>
          <w:sz w:val="21"/>
          <w:szCs w:val="21"/>
        </w:rPr>
        <w:t>管理水平</w:t>
      </w:r>
      <w:r>
        <w:rPr>
          <w:rFonts w:hint="eastAsia" w:hAnsi="宋体" w:eastAsia="宋体" w:cs="宋体"/>
          <w:sz w:val="21"/>
          <w:szCs w:val="21"/>
          <w:lang w:eastAsia="zh-CN"/>
        </w:rPr>
        <w:t>，</w:t>
      </w:r>
      <w:r>
        <w:rPr>
          <w:rFonts w:hint="eastAsia" w:hAnsi="宋体" w:eastAsia="宋体" w:cs="宋体"/>
          <w:sz w:val="21"/>
          <w:szCs w:val="21"/>
        </w:rPr>
        <w:t>强化风险防控能力，增强创新驱动、全面提升城</w:t>
      </w:r>
      <w:r>
        <w:rPr>
          <w:rFonts w:hint="eastAsia" w:hAnsi="宋体" w:eastAsia="宋体" w:cs="宋体"/>
          <w:sz w:val="21"/>
          <w:szCs w:val="21"/>
          <w:lang w:val="en-US" w:eastAsia="zh-CN"/>
        </w:rPr>
        <w:t>镇水务行业的管理水平。</w:t>
      </w:r>
    </w:p>
    <w:p w14:paraId="27BC9C79">
      <w:pPr>
        <w:pStyle w:val="41"/>
        <w:ind w:left="0" w:leftChars="0" w:firstLine="0" w:firstLineChars="0"/>
        <w:rPr>
          <w:rFonts w:hint="eastAsia" w:hAnsi="宋体" w:eastAsia="宋体" w:cs="宋体"/>
          <w:sz w:val="21"/>
          <w:szCs w:val="21"/>
        </w:rPr>
      </w:pPr>
      <w:r>
        <w:rPr>
          <w:rFonts w:hint="eastAsia" w:hAnsi="宋体" w:eastAsia="宋体" w:cs="宋体"/>
          <w:sz w:val="21"/>
          <w:szCs w:val="21"/>
        </w:rPr>
        <w:t>4.1.</w:t>
      </w:r>
      <w:r>
        <w:rPr>
          <w:rFonts w:hint="eastAsia" w:hAnsi="宋体" w:eastAsia="宋体" w:cs="宋体"/>
          <w:sz w:val="21"/>
          <w:szCs w:val="21"/>
          <w:lang w:val="en-US" w:eastAsia="zh-CN"/>
        </w:rPr>
        <w:t>4</w:t>
      </w:r>
      <w:r>
        <w:rPr>
          <w:rFonts w:hint="eastAsia" w:hAnsi="宋体" w:eastAsia="宋体" w:cs="宋体"/>
          <w:sz w:val="21"/>
          <w:szCs w:val="21"/>
        </w:rPr>
        <w:t>《城镇排水与污水处理条例》（国务院令第641号)第十九条规定:“除干早地区外，新区建设应当实行</w:t>
      </w:r>
      <w:r>
        <w:rPr>
          <w:rFonts w:hint="eastAsia" w:hAnsi="宋体" w:eastAsia="宋体" w:cs="宋体"/>
          <w:sz w:val="21"/>
          <w:szCs w:val="21"/>
          <w:lang w:val="en-US" w:eastAsia="zh-CN"/>
        </w:rPr>
        <w:t>雨水</w:t>
      </w:r>
      <w:r>
        <w:rPr>
          <w:rFonts w:hint="eastAsia" w:hAnsi="宋体" w:eastAsia="宋体" w:cs="宋体"/>
          <w:sz w:val="21"/>
          <w:szCs w:val="21"/>
        </w:rPr>
        <w:t>、</w:t>
      </w:r>
      <w:r>
        <w:rPr>
          <w:rFonts w:hint="eastAsia" w:hAnsi="宋体" w:eastAsia="宋体" w:cs="宋体"/>
          <w:sz w:val="21"/>
          <w:szCs w:val="21"/>
          <w:lang w:val="en-US" w:eastAsia="zh-CN"/>
        </w:rPr>
        <w:t>污水</w:t>
      </w:r>
      <w:r>
        <w:rPr>
          <w:rFonts w:hint="eastAsia" w:hAnsi="宋体" w:eastAsia="宋体" w:cs="宋体"/>
          <w:sz w:val="21"/>
          <w:szCs w:val="21"/>
        </w:rPr>
        <w:t>分流</w:t>
      </w:r>
      <w:r>
        <w:rPr>
          <w:rFonts w:hint="eastAsia" w:hAnsi="宋体" w:eastAsia="宋体" w:cs="宋体"/>
          <w:sz w:val="21"/>
          <w:szCs w:val="21"/>
          <w:lang w:eastAsia="zh-CN"/>
        </w:rPr>
        <w:t>；</w:t>
      </w:r>
      <w:r>
        <w:rPr>
          <w:rFonts w:hint="eastAsia" w:hAnsi="宋体" w:eastAsia="宋体" w:cs="宋体"/>
          <w:sz w:val="21"/>
          <w:szCs w:val="21"/>
        </w:rPr>
        <w:t>对实行雨水、污水合流的地区，应当按照城镇排水与污水处理规划要求</w:t>
      </w:r>
      <w:r>
        <w:rPr>
          <w:rFonts w:hint="eastAsia" w:hAnsi="宋体" w:eastAsia="宋体" w:cs="宋体"/>
          <w:sz w:val="21"/>
          <w:szCs w:val="21"/>
          <w:lang w:eastAsia="zh-CN"/>
        </w:rPr>
        <w:t>，</w:t>
      </w:r>
      <w:r>
        <w:rPr>
          <w:rFonts w:hint="eastAsia" w:hAnsi="宋体" w:eastAsia="宋体" w:cs="宋体"/>
          <w:sz w:val="21"/>
          <w:szCs w:val="21"/>
        </w:rPr>
        <w:t>进行雨水、污水分流改造。</w:t>
      </w:r>
      <w:r>
        <w:rPr>
          <w:rFonts w:hint="eastAsia" w:hAnsi="宋体" w:eastAsia="宋体" w:cs="宋体"/>
          <w:sz w:val="21"/>
          <w:szCs w:val="21"/>
          <w:lang w:eastAsia="zh-CN"/>
        </w:rPr>
        <w:t>”</w:t>
      </w:r>
      <w:r>
        <w:rPr>
          <w:rFonts w:hint="eastAsia" w:hAnsi="宋体" w:eastAsia="宋体" w:cs="宋体"/>
          <w:sz w:val="21"/>
          <w:szCs w:val="21"/>
        </w:rPr>
        <w:t>“在有条件的地区，应当逐步推进初期雨水收集与处理，会理确</w:t>
      </w:r>
      <w:r>
        <w:rPr>
          <w:rFonts w:hint="eastAsia" w:hAnsi="宋体" w:eastAsia="宋体" w:cs="宋体"/>
          <w:sz w:val="21"/>
          <w:szCs w:val="21"/>
          <w:lang w:val="en-US" w:eastAsia="zh-CN"/>
        </w:rPr>
        <w:t>定</w:t>
      </w:r>
      <w:r>
        <w:rPr>
          <w:rFonts w:hint="eastAsia" w:hAnsi="宋体" w:eastAsia="宋体" w:cs="宋体"/>
          <w:sz w:val="21"/>
          <w:szCs w:val="21"/>
        </w:rPr>
        <w:t>截流信数，通过设置初期雨水贮存池、建设截流干管等方式，加强对初期雨水的排放调控和污染防治。</w:t>
      </w:r>
      <w:r>
        <w:rPr>
          <w:rFonts w:hint="eastAsia" w:hAnsi="宋体" w:eastAsia="宋体" w:cs="宋体"/>
          <w:sz w:val="21"/>
          <w:szCs w:val="21"/>
          <w:highlight w:val="none"/>
        </w:rPr>
        <w:t>《城乡排水工程</w:t>
      </w:r>
      <w:r>
        <w:rPr>
          <w:rFonts w:hint="eastAsia" w:hAnsi="宋体" w:eastAsia="宋体" w:cs="宋体"/>
          <w:sz w:val="21"/>
          <w:szCs w:val="21"/>
          <w:highlight w:val="none"/>
          <w:lang w:val="en-US" w:eastAsia="zh-CN"/>
        </w:rPr>
        <w:t>项目</w:t>
      </w:r>
      <w:r>
        <w:rPr>
          <w:rFonts w:hint="eastAsia" w:hAnsi="宋体" w:eastAsia="宋体" w:cs="宋体"/>
          <w:sz w:val="21"/>
          <w:szCs w:val="21"/>
          <w:highlight w:val="none"/>
        </w:rPr>
        <w:t>规范》GB 55027</w:t>
      </w:r>
      <w:r>
        <w:rPr>
          <w:rFonts w:hint="eastAsia" w:hAnsi="宋体" w:cs="宋体"/>
          <w:sz w:val="21"/>
          <w:szCs w:val="21"/>
          <w:highlight w:val="none"/>
          <w:lang w:val="en-US" w:eastAsia="zh-CN"/>
        </w:rPr>
        <w:t>-2022中第</w:t>
      </w:r>
      <w:r>
        <w:rPr>
          <w:rFonts w:hint="eastAsia" w:hAnsi="宋体" w:eastAsia="宋体" w:cs="宋体"/>
          <w:sz w:val="21"/>
          <w:szCs w:val="21"/>
          <w:highlight w:val="none"/>
        </w:rPr>
        <w:t>2.1</w:t>
      </w:r>
      <w:r>
        <w:rPr>
          <w:rFonts w:hint="eastAsia" w:hAnsi="宋体" w:cs="宋体"/>
          <w:sz w:val="21"/>
          <w:szCs w:val="21"/>
          <w:highlight w:val="none"/>
          <w:lang w:val="en-US" w:eastAsia="zh-CN"/>
        </w:rPr>
        <w:t>.</w:t>
      </w:r>
      <w:r>
        <w:rPr>
          <w:rFonts w:hint="eastAsia" w:hAnsi="宋体" w:eastAsia="宋体" w:cs="宋体"/>
          <w:sz w:val="21"/>
          <w:szCs w:val="21"/>
          <w:highlight w:val="none"/>
        </w:rPr>
        <w:t>2条规定：“除</w:t>
      </w:r>
      <w:r>
        <w:rPr>
          <w:rFonts w:hint="eastAsia" w:hAnsi="宋体" w:eastAsia="宋体" w:cs="宋体"/>
          <w:sz w:val="21"/>
          <w:szCs w:val="21"/>
          <w:highlight w:val="none"/>
          <w:lang w:val="en-US" w:eastAsia="zh-CN"/>
        </w:rPr>
        <w:t>干旱</w:t>
      </w:r>
      <w:r>
        <w:rPr>
          <w:rFonts w:hint="eastAsia" w:hAnsi="宋体" w:eastAsia="宋体" w:cs="宋体"/>
          <w:sz w:val="21"/>
          <w:szCs w:val="21"/>
          <w:highlight w:val="none"/>
        </w:rPr>
        <w:t>地区外，新建地区的新水体制应</w:t>
      </w:r>
      <w:r>
        <w:rPr>
          <w:rFonts w:hint="eastAsia" w:hAnsi="宋体" w:eastAsia="宋体" w:cs="宋体"/>
          <w:sz w:val="21"/>
          <w:szCs w:val="21"/>
        </w:rPr>
        <w:t>采用分流制</w:t>
      </w:r>
      <w:r>
        <w:rPr>
          <w:rFonts w:hint="eastAsia" w:hAnsi="宋体" w:eastAsia="宋体" w:cs="宋体"/>
          <w:sz w:val="21"/>
          <w:szCs w:val="21"/>
          <w:lang w:eastAsia="zh-CN"/>
        </w:rPr>
        <w:t>。</w:t>
      </w:r>
      <w:r>
        <w:rPr>
          <w:rFonts w:hint="eastAsia" w:hAnsi="宋体" w:eastAsia="宋体" w:cs="宋体"/>
          <w:sz w:val="21"/>
          <w:szCs w:val="21"/>
        </w:rPr>
        <w:t>”根据条例和强制性规范要求，结合</w:t>
      </w:r>
      <w:r>
        <w:rPr>
          <w:rFonts w:hint="eastAsia" w:hAnsi="宋体" w:eastAsia="宋体" w:cs="宋体"/>
          <w:sz w:val="21"/>
          <w:szCs w:val="21"/>
          <w:lang w:val="en-US" w:eastAsia="zh-CN"/>
        </w:rPr>
        <w:t>湖北</w:t>
      </w:r>
      <w:r>
        <w:rPr>
          <w:rFonts w:hint="eastAsia" w:hAnsi="宋体" w:eastAsia="宋体" w:cs="宋体"/>
          <w:sz w:val="21"/>
          <w:szCs w:val="21"/>
        </w:rPr>
        <w:t>省无</w:t>
      </w:r>
      <w:r>
        <w:rPr>
          <w:rFonts w:hint="eastAsia" w:hAnsi="宋体" w:eastAsia="宋体" w:cs="宋体"/>
          <w:sz w:val="21"/>
          <w:szCs w:val="21"/>
          <w:lang w:val="en-US" w:eastAsia="zh-CN"/>
        </w:rPr>
        <w:t>干</w:t>
      </w:r>
      <w:r>
        <w:rPr>
          <w:rFonts w:hint="eastAsia" w:hAnsi="宋体" w:eastAsia="宋体" w:cs="宋体"/>
          <w:sz w:val="21"/>
          <w:szCs w:val="21"/>
        </w:rPr>
        <w:t>早地区的情况，确定省内有条件的城镇，</w:t>
      </w:r>
      <w:r>
        <w:rPr>
          <w:rFonts w:hint="eastAsia" w:hAnsi="宋体" w:eastAsia="宋体" w:cs="宋体"/>
          <w:sz w:val="21"/>
          <w:szCs w:val="21"/>
          <w:lang w:val="en-US" w:eastAsia="zh-CN"/>
        </w:rPr>
        <w:t>应</w:t>
      </w:r>
      <w:r>
        <w:rPr>
          <w:rFonts w:hint="eastAsia" w:hAnsi="宋体" w:eastAsia="宋体" w:cs="宋体"/>
          <w:sz w:val="21"/>
          <w:szCs w:val="21"/>
        </w:rPr>
        <w:t>对初期雨永径流污染进行治理。</w:t>
      </w:r>
    </w:p>
    <w:p w14:paraId="44BF194F">
      <w:pPr>
        <w:pStyle w:val="40"/>
        <w:spacing w:beforeLines="-2147483648" w:afterLines="-2147483648" w:line="480" w:lineRule="auto"/>
        <w:ind w:left="0"/>
        <w:outlineLvl w:val="3"/>
        <w:rPr>
          <w:rFonts w:hint="eastAsia" w:ascii="Times New Roman" w:hAnsi="Times New Roman" w:cs="Times New Roman"/>
          <w:kern w:val="0"/>
          <w:szCs w:val="20"/>
        </w:rPr>
      </w:pPr>
      <w:r>
        <w:rPr>
          <w:rFonts w:hint="eastAsia" w:ascii="Times New Roman" w:hAnsi="Times New Roman" w:cs="Times New Roman"/>
          <w:kern w:val="0"/>
          <w:szCs w:val="20"/>
        </w:rPr>
        <w:t>4.2 系统目标</w:t>
      </w:r>
    </w:p>
    <w:p w14:paraId="4C61A05E">
      <w:pPr>
        <w:pStyle w:val="41"/>
        <w:ind w:left="0" w:leftChars="0" w:firstLine="0" w:firstLineChars="0"/>
        <w:rPr>
          <w:rFonts w:hint="eastAsia" w:hAnsi="宋体" w:eastAsia="宋体" w:cs="宋体"/>
          <w:sz w:val="21"/>
          <w:szCs w:val="21"/>
        </w:rPr>
      </w:pPr>
      <w:r>
        <w:rPr>
          <w:rFonts w:hint="eastAsia" w:hAnsi="宋体" w:eastAsia="宋体" w:cs="宋体"/>
          <w:sz w:val="21"/>
          <w:szCs w:val="21"/>
          <w:lang w:val="en-US" w:eastAsia="zh-CN"/>
        </w:rPr>
        <w:t xml:space="preserve">4.2.3 </w:t>
      </w:r>
      <w:r>
        <w:rPr>
          <w:rFonts w:hint="eastAsia" w:hAnsi="宋体" w:eastAsia="宋体" w:cs="宋体"/>
          <w:sz w:val="21"/>
          <w:szCs w:val="21"/>
        </w:rPr>
        <w:t>有条件的地区可采用排水口水量、水质的典型场次降雨监测数据，对流域排水系统进行数学模型构建并率定验证，利用满足率定、验证要求的数学模型，模拟评价片区的排口排放的污染物量，或利用长期监测数据直接评价。</w:t>
      </w:r>
    </w:p>
    <w:p w14:paraId="3806515D">
      <w:pPr>
        <w:pStyle w:val="41"/>
        <w:ind w:left="0" w:leftChars="0" w:firstLine="0" w:firstLineChars="0"/>
        <w:rPr>
          <w:rFonts w:hint="eastAsia" w:hAnsi="宋体" w:eastAsia="宋体" w:cs="宋体"/>
          <w:sz w:val="21"/>
          <w:szCs w:val="21"/>
        </w:rPr>
      </w:pPr>
      <w:r>
        <w:rPr>
          <w:rFonts w:hint="eastAsia" w:hAnsi="宋体" w:eastAsia="宋体" w:cs="宋体"/>
          <w:sz w:val="21"/>
          <w:szCs w:val="21"/>
        </w:rPr>
        <w:t>4.2.</w:t>
      </w:r>
      <w:r>
        <w:rPr>
          <w:rFonts w:hint="eastAsia" w:hAnsi="宋体" w:eastAsia="宋体" w:cs="宋体"/>
          <w:sz w:val="21"/>
          <w:szCs w:val="21"/>
          <w:lang w:val="en-US" w:eastAsia="zh-CN"/>
        </w:rPr>
        <w:t xml:space="preserve">4 </w:t>
      </w:r>
      <w:r>
        <w:rPr>
          <w:rFonts w:hint="eastAsia" w:hAnsi="宋体" w:eastAsia="宋体" w:cs="宋体"/>
          <w:sz w:val="21"/>
          <w:szCs w:val="21"/>
        </w:rPr>
        <w:t>排水系统数智清污分流应通过融合智能装备、物联网、大数据及云计算等技术，依托城市数字公共基础设施（如城市信息模型CIM平台），集成地下管网三维模型、智能感知设备（</w:t>
      </w:r>
      <w:r>
        <w:rPr>
          <w:rFonts w:hint="eastAsia" w:hAnsi="宋体" w:eastAsia="宋体" w:cs="宋体"/>
          <w:sz w:val="21"/>
          <w:szCs w:val="21"/>
          <w:lang w:val="en-US" w:eastAsia="zh-CN"/>
        </w:rPr>
        <w:t>流量计</w:t>
      </w:r>
      <w:r>
        <w:rPr>
          <w:rFonts w:hint="eastAsia" w:hAnsi="宋体" w:eastAsia="宋体" w:cs="宋体"/>
          <w:sz w:val="21"/>
          <w:szCs w:val="21"/>
        </w:rPr>
        <w:t>、水质传感器等）及水文气象等多源数据，构建“源-网-厂-河（湖）”全流程动态监测与调控体系，实现污水入渗量、管网运行负荷、</w:t>
      </w:r>
      <w:r>
        <w:rPr>
          <w:rFonts w:hint="eastAsia" w:hAnsi="宋体" w:eastAsia="宋体" w:cs="宋体"/>
          <w:sz w:val="21"/>
          <w:szCs w:val="21"/>
          <w:lang w:val="en-US" w:eastAsia="zh-CN"/>
        </w:rPr>
        <w:t>设施运行状况</w:t>
      </w:r>
      <w:r>
        <w:rPr>
          <w:rFonts w:hint="eastAsia" w:hAnsi="宋体" w:eastAsia="宋体" w:cs="宋体"/>
          <w:sz w:val="21"/>
          <w:szCs w:val="21"/>
        </w:rPr>
        <w:t>及河湖水质等关键参数的实时感知与异常预警。通过数字孪生仿真与优化调度算法，动态调控截流设施、调蓄池等</w:t>
      </w:r>
      <w:r>
        <w:rPr>
          <w:rFonts w:hint="eastAsia" w:hAnsi="宋体" w:eastAsia="宋体" w:cs="宋体"/>
          <w:sz w:val="21"/>
          <w:szCs w:val="21"/>
          <w:lang w:val="en-US" w:eastAsia="zh-CN"/>
        </w:rPr>
        <w:t>设施</w:t>
      </w:r>
      <w:r>
        <w:rPr>
          <w:rFonts w:hint="eastAsia" w:hAnsi="宋体" w:eastAsia="宋体" w:cs="宋体"/>
          <w:sz w:val="21"/>
          <w:szCs w:val="21"/>
        </w:rPr>
        <w:t>运行，精准匹配旱涝工况需求。</w:t>
      </w:r>
    </w:p>
    <w:p w14:paraId="50067B98">
      <w:pPr>
        <w:pStyle w:val="114"/>
        <w:spacing w:before="312" w:after="312"/>
        <w:ind w:left="0"/>
        <w:jc w:val="left"/>
        <w:outlineLvl w:val="1"/>
      </w:pPr>
      <w:bookmarkStart w:id="151" w:name="_Toc19283"/>
      <w:r>
        <w:rPr>
          <w:rFonts w:hint="eastAsia" w:hAnsi="黑体" w:cs="黑体"/>
          <w:szCs w:val="21"/>
          <w:lang w:val="en-US" w:eastAsia="zh-CN"/>
        </w:rPr>
        <w:t>排水管网清污分流工程</w:t>
      </w:r>
      <w:bookmarkEnd w:id="151"/>
    </w:p>
    <w:p w14:paraId="44509FA0">
      <w:pPr>
        <w:pStyle w:val="40"/>
        <w:spacing w:before="156" w:after="156"/>
        <w:outlineLvl w:val="3"/>
        <w:rPr>
          <w:rFonts w:hint="eastAsia"/>
        </w:rPr>
      </w:pPr>
      <w:r>
        <w:rPr>
          <w:rFonts w:hint="eastAsia"/>
          <w:lang w:val="en-US" w:eastAsia="zh-CN"/>
        </w:rPr>
        <w:t>5</w:t>
      </w:r>
      <w:r>
        <w:rPr>
          <w:rFonts w:hint="eastAsia"/>
        </w:rPr>
        <w:t>.1 一般规定</w:t>
      </w:r>
    </w:p>
    <w:p w14:paraId="614DDAD8">
      <w:pPr>
        <w:pStyle w:val="41"/>
        <w:ind w:left="0" w:leftChars="0" w:firstLine="0" w:firstLineChars="0"/>
        <w:rPr>
          <w:rFonts w:hint="eastAsia" w:hAnsi="宋体" w:eastAsia="宋体" w:cs="宋体"/>
          <w:sz w:val="21"/>
          <w:szCs w:val="21"/>
          <w:lang w:val="en-US" w:eastAsia="zh-CN"/>
        </w:rPr>
      </w:pPr>
      <w:r>
        <w:rPr>
          <w:rFonts w:hint="eastAsia" w:hAnsi="宋体" w:eastAsia="宋体" w:cs="宋体"/>
          <w:sz w:val="21"/>
          <w:szCs w:val="21"/>
          <w:lang w:val="en-US" w:eastAsia="zh-CN"/>
        </w:rPr>
        <w:t>5</w:t>
      </w:r>
      <w:r>
        <w:rPr>
          <w:rFonts w:hint="eastAsia" w:hAnsi="宋体" w:eastAsia="宋体" w:cs="宋体"/>
          <w:sz w:val="21"/>
          <w:szCs w:val="21"/>
        </w:rPr>
        <w:t>.1.1 清污分流排水系统构建的前期调查应包括污水处理厂调查、源头地块调查、</w:t>
      </w:r>
      <w:r>
        <w:rPr>
          <w:rFonts w:hint="eastAsia" w:hAnsi="宋体" w:eastAsia="宋体" w:cs="宋体"/>
          <w:sz w:val="21"/>
          <w:szCs w:val="21"/>
          <w:lang w:val="en-US" w:eastAsia="zh-CN"/>
        </w:rPr>
        <w:t>排水</w:t>
      </w:r>
      <w:r>
        <w:rPr>
          <w:rFonts w:hint="eastAsia" w:hAnsi="宋体" w:eastAsia="宋体" w:cs="宋体"/>
          <w:sz w:val="21"/>
          <w:szCs w:val="21"/>
        </w:rPr>
        <w:t>管网调查和初雨特征调查等，为城镇排水系统清污分流改造提供基础资料。</w:t>
      </w:r>
      <w:r>
        <w:rPr>
          <w:rFonts w:hint="eastAsia" w:hAnsi="宋体" w:eastAsia="宋体" w:cs="宋体"/>
          <w:sz w:val="21"/>
          <w:szCs w:val="21"/>
          <w:lang w:val="en-US" w:eastAsia="zh-CN"/>
        </w:rPr>
        <w:t>具体调查要求如下所示：</w:t>
      </w:r>
    </w:p>
    <w:p w14:paraId="5DDF2547">
      <w:pPr>
        <w:pStyle w:val="41"/>
        <w:numPr>
          <w:ilvl w:val="0"/>
          <w:numId w:val="70"/>
        </w:numPr>
        <w:tabs>
          <w:tab w:val="center" w:pos="4201"/>
          <w:tab w:val="right" w:leader="dot" w:pos="9298"/>
        </w:tabs>
        <w:ind w:left="726" w:leftChars="0" w:hanging="306"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污水处理厂调查</w:t>
      </w:r>
    </w:p>
    <w:p w14:paraId="454E9A29">
      <w:pPr>
        <w:pStyle w:val="41"/>
        <w:numPr>
          <w:ilvl w:val="0"/>
          <w:numId w:val="71"/>
        </w:numPr>
        <w:tabs>
          <w:tab w:val="center" w:pos="4201"/>
          <w:tab w:val="right" w:leader="dot" w:pos="9298"/>
        </w:tabs>
        <w:ind w:left="1145" w:leftChars="0" w:hanging="419" w:firstLineChars="0"/>
        <w:rPr>
          <w:rFonts w:hint="eastAsia" w:hAnsi="宋体" w:cs="宋体"/>
          <w:szCs w:val="21"/>
          <w:lang w:val="en-US" w:eastAsia="zh-CN"/>
        </w:rPr>
      </w:pPr>
      <w:r>
        <w:rPr>
          <w:rFonts w:hint="eastAsia" w:hAnsi="宋体" w:cs="宋体"/>
          <w:szCs w:val="21"/>
          <w:lang w:val="en-US" w:eastAsia="zh-CN"/>
        </w:rPr>
        <w:t>应通过资料收集、现场调查等方法对污水处理厂的现状进水水质、水量等基本情况进行收集，进水水质浓度本底值主要包括CODcr、BOD5、氨氮、TP、TN、SS等。具体调查要素可参照表1执行。</w:t>
      </w:r>
    </w:p>
    <w:p w14:paraId="2506C461">
      <w:pPr>
        <w:pStyle w:val="241"/>
        <w:numPr>
          <w:ilvl w:val="2"/>
          <w:numId w:val="0"/>
        </w:numPr>
        <w:spacing w:before="156" w:after="156"/>
        <w:ind w:left="-10"/>
        <w:jc w:val="center"/>
        <w:outlineLvl w:val="9"/>
        <w:rPr>
          <w:rFonts w:hint="eastAsia" w:ascii="黑体" w:hAnsi="黑体" w:eastAsia="黑体" w:cs="黑体"/>
          <w:color w:val="auto"/>
          <w:lang w:val="en-US" w:eastAsia="zh-CN"/>
        </w:rPr>
      </w:pPr>
      <w:r>
        <w:rPr>
          <w:rFonts w:hint="eastAsia" w:ascii="黑体" w:hAnsi="黑体" w:eastAsia="黑体" w:cs="黑体"/>
          <w:color w:val="auto"/>
          <w:lang w:val="en-US" w:eastAsia="zh-CN"/>
        </w:rPr>
        <w:t>表</w:t>
      </w:r>
      <w:r>
        <w:rPr>
          <w:rFonts w:hint="eastAsia" w:ascii="黑体" w:hAnsi="黑体" w:cs="黑体"/>
          <w:color w:val="auto"/>
          <w:lang w:val="en-US" w:eastAsia="zh-CN"/>
        </w:rPr>
        <w:t>5.1</w:t>
      </w:r>
      <w:r>
        <w:rPr>
          <w:rFonts w:hint="eastAsia" w:ascii="黑体" w:hAnsi="黑体" w:eastAsia="黑体" w:cs="黑体"/>
          <w:color w:val="auto"/>
          <w:lang w:val="en-US" w:eastAsia="zh-CN"/>
        </w:rPr>
        <w:t xml:space="preserve"> 污水处理厂基本情况调查表</w:t>
      </w:r>
    </w:p>
    <w:tbl>
      <w:tblPr>
        <w:tblStyle w:val="31"/>
        <w:tblW w:w="4571" w:type="pct"/>
        <w:tblInd w:w="460" w:type="dxa"/>
        <w:tblLayout w:type="fixed"/>
        <w:tblCellMar>
          <w:top w:w="0" w:type="dxa"/>
          <w:left w:w="108" w:type="dxa"/>
          <w:bottom w:w="0" w:type="dxa"/>
          <w:right w:w="108" w:type="dxa"/>
        </w:tblCellMar>
      </w:tblPr>
      <w:tblGrid>
        <w:gridCol w:w="960"/>
        <w:gridCol w:w="1592"/>
        <w:gridCol w:w="852"/>
        <w:gridCol w:w="1592"/>
        <w:gridCol w:w="677"/>
        <w:gridCol w:w="1745"/>
        <w:gridCol w:w="1331"/>
      </w:tblGrid>
      <w:tr w14:paraId="37DE9C13">
        <w:tblPrEx>
          <w:tblCellMar>
            <w:top w:w="0" w:type="dxa"/>
            <w:left w:w="108" w:type="dxa"/>
            <w:bottom w:w="0" w:type="dxa"/>
            <w:right w:w="108" w:type="dxa"/>
          </w:tblCellMar>
        </w:tblPrEx>
        <w:trPr>
          <w:trHeight w:val="90" w:hRule="atLeast"/>
        </w:trPr>
        <w:tc>
          <w:tcPr>
            <w:tcW w:w="1458" w:type="pct"/>
            <w:gridSpan w:val="2"/>
            <w:tcBorders>
              <w:top w:val="single" w:color="000000" w:sz="4" w:space="0"/>
              <w:left w:val="single" w:color="000000" w:sz="4" w:space="0"/>
              <w:bottom w:val="single" w:color="000000" w:sz="4" w:space="0"/>
              <w:right w:val="single" w:color="000000" w:sz="4" w:space="0"/>
            </w:tcBorders>
            <w:noWrap/>
            <w:vAlign w:val="center"/>
          </w:tcPr>
          <w:p w14:paraId="2573A30A">
            <w:pPr>
              <w:adjustRightInd/>
              <w:spacing w:line="36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污水处理厂名称:</w:t>
            </w:r>
          </w:p>
        </w:tc>
        <w:tc>
          <w:tcPr>
            <w:tcW w:w="3541" w:type="pct"/>
            <w:gridSpan w:val="5"/>
            <w:tcBorders>
              <w:top w:val="single" w:color="000000" w:sz="4" w:space="0"/>
              <w:left w:val="single" w:color="000000" w:sz="4" w:space="0"/>
              <w:bottom w:val="single" w:color="000000" w:sz="4" w:space="0"/>
              <w:right w:val="single" w:color="000000" w:sz="4" w:space="0"/>
            </w:tcBorders>
            <w:noWrap/>
            <w:vAlign w:val="center"/>
          </w:tcPr>
          <w:p w14:paraId="7A6D13DD">
            <w:pPr>
              <w:adjustRightInd/>
              <w:spacing w:line="360" w:lineRule="auto"/>
              <w:ind w:firstLine="360" w:firstLineChars="200"/>
              <w:rPr>
                <w:rFonts w:hint="eastAsia" w:ascii="宋体" w:hAnsi="宋体" w:eastAsia="宋体" w:cs="宋体"/>
                <w:kern w:val="2"/>
                <w:sz w:val="18"/>
                <w:szCs w:val="18"/>
                <w:lang w:val="en-US" w:eastAsia="zh-CN" w:bidi="ar-SA"/>
              </w:rPr>
            </w:pPr>
          </w:p>
        </w:tc>
      </w:tr>
      <w:tr w14:paraId="4E92ECAF">
        <w:tblPrEx>
          <w:tblCellMar>
            <w:top w:w="0" w:type="dxa"/>
            <w:left w:w="108" w:type="dxa"/>
            <w:bottom w:w="0" w:type="dxa"/>
            <w:right w:w="108" w:type="dxa"/>
          </w:tblCellMar>
        </w:tblPrEx>
        <w:trPr>
          <w:trHeight w:val="90" w:hRule="atLeast"/>
        </w:trPr>
        <w:tc>
          <w:tcPr>
            <w:tcW w:w="1458" w:type="pct"/>
            <w:gridSpan w:val="2"/>
            <w:tcBorders>
              <w:top w:val="single" w:color="000000" w:sz="4" w:space="0"/>
              <w:left w:val="single" w:color="000000" w:sz="4" w:space="0"/>
              <w:bottom w:val="single" w:color="000000" w:sz="4" w:space="0"/>
              <w:right w:val="single" w:color="000000" w:sz="4" w:space="0"/>
            </w:tcBorders>
            <w:noWrap/>
            <w:vAlign w:val="center"/>
          </w:tcPr>
          <w:p w14:paraId="25E3B144">
            <w:pPr>
              <w:adjustRightInd/>
              <w:spacing w:line="36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污水厂设计规模 (万 m3/d):</w:t>
            </w:r>
          </w:p>
        </w:tc>
        <w:tc>
          <w:tcPr>
            <w:tcW w:w="3541" w:type="pct"/>
            <w:gridSpan w:val="5"/>
            <w:tcBorders>
              <w:top w:val="single" w:color="000000" w:sz="4" w:space="0"/>
              <w:left w:val="single" w:color="000000" w:sz="4" w:space="0"/>
              <w:bottom w:val="single" w:color="000000" w:sz="4" w:space="0"/>
              <w:right w:val="single" w:color="000000" w:sz="4" w:space="0"/>
            </w:tcBorders>
            <w:noWrap/>
            <w:vAlign w:val="center"/>
          </w:tcPr>
          <w:p w14:paraId="677EFF62">
            <w:pPr>
              <w:adjustRightInd/>
              <w:spacing w:line="360" w:lineRule="auto"/>
              <w:ind w:firstLine="360" w:firstLineChars="200"/>
              <w:rPr>
                <w:rFonts w:hint="eastAsia" w:ascii="宋体" w:hAnsi="宋体" w:eastAsia="宋体" w:cs="宋体"/>
                <w:kern w:val="2"/>
                <w:sz w:val="18"/>
                <w:szCs w:val="18"/>
                <w:lang w:val="en-US" w:eastAsia="zh-CN" w:bidi="ar-SA"/>
              </w:rPr>
            </w:pPr>
          </w:p>
        </w:tc>
      </w:tr>
      <w:tr w14:paraId="75666374">
        <w:tblPrEx>
          <w:tblCellMar>
            <w:top w:w="0" w:type="dxa"/>
            <w:left w:w="108" w:type="dxa"/>
            <w:bottom w:w="0" w:type="dxa"/>
            <w:right w:w="108" w:type="dxa"/>
          </w:tblCellMar>
        </w:tblPrEx>
        <w:trPr>
          <w:trHeight w:val="270" w:hRule="atLeast"/>
        </w:trPr>
        <w:tc>
          <w:tcPr>
            <w:tcW w:w="1458" w:type="pct"/>
            <w:gridSpan w:val="2"/>
            <w:tcBorders>
              <w:top w:val="single" w:color="000000" w:sz="4" w:space="0"/>
              <w:left w:val="single" w:color="000000" w:sz="4" w:space="0"/>
              <w:bottom w:val="single" w:color="000000" w:sz="4" w:space="0"/>
              <w:right w:val="single" w:color="000000" w:sz="4" w:space="0"/>
            </w:tcBorders>
            <w:noWrap/>
            <w:vAlign w:val="center"/>
          </w:tcPr>
          <w:p w14:paraId="2AEB5F5F">
            <w:pPr>
              <w:adjustRightInd/>
              <w:spacing w:line="36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污水厂服务面积 (km2):</w:t>
            </w:r>
          </w:p>
        </w:tc>
        <w:tc>
          <w:tcPr>
            <w:tcW w:w="3541" w:type="pct"/>
            <w:gridSpan w:val="5"/>
            <w:tcBorders>
              <w:top w:val="single" w:color="000000" w:sz="4" w:space="0"/>
              <w:left w:val="single" w:color="000000" w:sz="4" w:space="0"/>
              <w:bottom w:val="single" w:color="000000" w:sz="4" w:space="0"/>
              <w:right w:val="single" w:color="000000" w:sz="4" w:space="0"/>
            </w:tcBorders>
            <w:noWrap/>
            <w:vAlign w:val="center"/>
          </w:tcPr>
          <w:p w14:paraId="261FE5B2">
            <w:pPr>
              <w:adjustRightInd/>
              <w:spacing w:line="360" w:lineRule="auto"/>
              <w:ind w:firstLine="360" w:firstLineChars="200"/>
              <w:rPr>
                <w:rFonts w:hint="eastAsia" w:ascii="宋体" w:hAnsi="宋体" w:eastAsia="宋体" w:cs="宋体"/>
                <w:kern w:val="2"/>
                <w:sz w:val="18"/>
                <w:szCs w:val="18"/>
                <w:lang w:val="en-US" w:eastAsia="zh-CN" w:bidi="ar-SA"/>
              </w:rPr>
            </w:pPr>
          </w:p>
        </w:tc>
      </w:tr>
      <w:tr w14:paraId="788128A4">
        <w:tblPrEx>
          <w:tblCellMar>
            <w:top w:w="0" w:type="dxa"/>
            <w:left w:w="108" w:type="dxa"/>
            <w:bottom w:w="0" w:type="dxa"/>
            <w:right w:w="108" w:type="dxa"/>
          </w:tblCellMar>
        </w:tblPrEx>
        <w:trPr>
          <w:trHeight w:val="270" w:hRule="atLeast"/>
        </w:trPr>
        <w:tc>
          <w:tcPr>
            <w:tcW w:w="1458" w:type="pct"/>
            <w:gridSpan w:val="2"/>
            <w:tcBorders>
              <w:top w:val="single" w:color="000000" w:sz="4" w:space="0"/>
              <w:left w:val="single" w:color="000000" w:sz="4" w:space="0"/>
              <w:bottom w:val="single" w:color="000000" w:sz="4" w:space="0"/>
              <w:right w:val="single" w:color="000000" w:sz="4" w:space="0"/>
            </w:tcBorders>
            <w:noWrap/>
            <w:vAlign w:val="center"/>
          </w:tcPr>
          <w:p w14:paraId="42F33F5C">
            <w:pPr>
              <w:adjustRightInd/>
              <w:spacing w:line="36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污水厂服务人口(人):</w:t>
            </w:r>
          </w:p>
        </w:tc>
        <w:tc>
          <w:tcPr>
            <w:tcW w:w="3541" w:type="pct"/>
            <w:gridSpan w:val="5"/>
            <w:tcBorders>
              <w:top w:val="single" w:color="000000" w:sz="4" w:space="0"/>
              <w:left w:val="single" w:color="000000" w:sz="4" w:space="0"/>
              <w:bottom w:val="single" w:color="000000" w:sz="4" w:space="0"/>
              <w:right w:val="single" w:color="000000" w:sz="4" w:space="0"/>
            </w:tcBorders>
            <w:noWrap/>
            <w:vAlign w:val="center"/>
          </w:tcPr>
          <w:p w14:paraId="6E85A9E8">
            <w:pPr>
              <w:adjustRightInd/>
              <w:spacing w:line="360" w:lineRule="auto"/>
              <w:ind w:firstLine="360" w:firstLineChars="200"/>
              <w:rPr>
                <w:rFonts w:hint="eastAsia" w:ascii="宋体" w:hAnsi="宋体" w:eastAsia="宋体" w:cs="宋体"/>
                <w:kern w:val="2"/>
                <w:sz w:val="18"/>
                <w:szCs w:val="18"/>
                <w:lang w:val="en-US" w:eastAsia="zh-CN" w:bidi="ar-SA"/>
              </w:rPr>
            </w:pPr>
          </w:p>
        </w:tc>
      </w:tr>
      <w:tr w14:paraId="365F6905">
        <w:tblPrEx>
          <w:tblCellMar>
            <w:top w:w="0" w:type="dxa"/>
            <w:left w:w="108" w:type="dxa"/>
            <w:bottom w:w="0" w:type="dxa"/>
            <w:right w:w="108" w:type="dxa"/>
          </w:tblCellMar>
        </w:tblPrEx>
        <w:trPr>
          <w:trHeight w:val="270" w:hRule="atLeast"/>
        </w:trPr>
        <w:tc>
          <w:tcPr>
            <w:tcW w:w="1458" w:type="pct"/>
            <w:gridSpan w:val="2"/>
            <w:tcBorders>
              <w:top w:val="single" w:color="000000" w:sz="4" w:space="0"/>
              <w:left w:val="single" w:color="000000" w:sz="4" w:space="0"/>
              <w:bottom w:val="single" w:color="000000" w:sz="4" w:space="0"/>
              <w:right w:val="single" w:color="000000" w:sz="4" w:space="0"/>
            </w:tcBorders>
            <w:noWrap/>
            <w:vAlign w:val="center"/>
          </w:tcPr>
          <w:p w14:paraId="313855CF">
            <w:pPr>
              <w:adjustRightInd/>
              <w:spacing w:line="36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自来水水量(万m3/d):</w:t>
            </w:r>
          </w:p>
        </w:tc>
        <w:tc>
          <w:tcPr>
            <w:tcW w:w="3541" w:type="pct"/>
            <w:gridSpan w:val="5"/>
            <w:tcBorders>
              <w:top w:val="single" w:color="000000" w:sz="4" w:space="0"/>
              <w:left w:val="single" w:color="000000" w:sz="4" w:space="0"/>
              <w:bottom w:val="single" w:color="000000" w:sz="4" w:space="0"/>
              <w:right w:val="single" w:color="000000" w:sz="4" w:space="0"/>
            </w:tcBorders>
            <w:noWrap/>
            <w:vAlign w:val="center"/>
          </w:tcPr>
          <w:p w14:paraId="17DF0622">
            <w:pPr>
              <w:adjustRightInd/>
              <w:spacing w:line="360" w:lineRule="auto"/>
              <w:ind w:firstLine="360" w:firstLineChars="200"/>
              <w:rPr>
                <w:rFonts w:hint="eastAsia" w:ascii="宋体" w:hAnsi="宋体" w:eastAsia="宋体" w:cs="宋体"/>
                <w:kern w:val="2"/>
                <w:sz w:val="18"/>
                <w:szCs w:val="18"/>
                <w:lang w:val="en-US" w:eastAsia="zh-CN" w:bidi="ar-SA"/>
              </w:rPr>
            </w:pPr>
          </w:p>
        </w:tc>
      </w:tr>
      <w:tr w14:paraId="03A9E3CA">
        <w:tblPrEx>
          <w:tblCellMar>
            <w:top w:w="0" w:type="dxa"/>
            <w:left w:w="108" w:type="dxa"/>
            <w:bottom w:w="0" w:type="dxa"/>
            <w:right w:w="108" w:type="dxa"/>
          </w:tblCellMar>
        </w:tblPrEx>
        <w:trPr>
          <w:trHeight w:val="90" w:hRule="atLeast"/>
        </w:trPr>
        <w:tc>
          <w:tcPr>
            <w:tcW w:w="1458" w:type="pct"/>
            <w:gridSpan w:val="2"/>
            <w:tcBorders>
              <w:top w:val="single" w:color="000000" w:sz="4" w:space="0"/>
              <w:left w:val="single" w:color="000000" w:sz="4" w:space="0"/>
              <w:bottom w:val="single" w:color="000000" w:sz="4" w:space="0"/>
              <w:right w:val="single" w:color="000000" w:sz="4" w:space="0"/>
            </w:tcBorders>
            <w:noWrap/>
            <w:vAlign w:val="center"/>
          </w:tcPr>
          <w:p w14:paraId="4CBC1DBB">
            <w:pPr>
              <w:adjustRightInd/>
              <w:spacing w:line="36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水质情况:</w:t>
            </w:r>
          </w:p>
        </w:tc>
        <w:tc>
          <w:tcPr>
            <w:tcW w:w="3541" w:type="pct"/>
            <w:gridSpan w:val="5"/>
            <w:tcBorders>
              <w:top w:val="single" w:color="000000" w:sz="4" w:space="0"/>
              <w:left w:val="single" w:color="000000" w:sz="4" w:space="0"/>
              <w:bottom w:val="single" w:color="000000" w:sz="4" w:space="0"/>
              <w:right w:val="single" w:color="000000" w:sz="4" w:space="0"/>
            </w:tcBorders>
            <w:noWrap/>
            <w:vAlign w:val="center"/>
          </w:tcPr>
          <w:p w14:paraId="53D7383A">
            <w:pPr>
              <w:adjustRightInd/>
              <w:spacing w:line="360" w:lineRule="auto"/>
              <w:ind w:firstLine="360" w:firstLineChars="20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近3年每日进水浓度(CODr、BODs、氨氮、TP、N、ss、水温、pH)</w:t>
            </w:r>
          </w:p>
        </w:tc>
      </w:tr>
      <w:tr w14:paraId="225B7A1C">
        <w:tblPrEx>
          <w:tblCellMar>
            <w:top w:w="0" w:type="dxa"/>
            <w:left w:w="108" w:type="dxa"/>
            <w:bottom w:w="0" w:type="dxa"/>
            <w:right w:w="108" w:type="dxa"/>
          </w:tblCellMar>
        </w:tblPrEx>
        <w:trPr>
          <w:trHeight w:val="270" w:hRule="atLeast"/>
        </w:trPr>
        <w:tc>
          <w:tcPr>
            <w:tcW w:w="1458" w:type="pct"/>
            <w:gridSpan w:val="2"/>
            <w:tcBorders>
              <w:top w:val="single" w:color="000000" w:sz="4" w:space="0"/>
              <w:left w:val="single" w:color="000000" w:sz="4" w:space="0"/>
              <w:bottom w:val="single" w:color="000000" w:sz="4" w:space="0"/>
              <w:right w:val="single" w:color="000000" w:sz="4" w:space="0"/>
            </w:tcBorders>
            <w:noWrap/>
            <w:vAlign w:val="center"/>
          </w:tcPr>
          <w:p w14:paraId="40CA2696">
            <w:pPr>
              <w:adjustRightInd/>
              <w:spacing w:line="36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水量情况:</w:t>
            </w:r>
          </w:p>
        </w:tc>
        <w:tc>
          <w:tcPr>
            <w:tcW w:w="3541" w:type="pct"/>
            <w:gridSpan w:val="5"/>
            <w:tcBorders>
              <w:top w:val="single" w:color="000000" w:sz="4" w:space="0"/>
              <w:left w:val="single" w:color="000000" w:sz="4" w:space="0"/>
              <w:bottom w:val="single" w:color="000000" w:sz="4" w:space="0"/>
              <w:right w:val="single" w:color="000000" w:sz="4" w:space="0"/>
            </w:tcBorders>
            <w:noWrap/>
            <w:vAlign w:val="center"/>
          </w:tcPr>
          <w:p w14:paraId="39989171">
            <w:pPr>
              <w:adjustRightInd/>
              <w:spacing w:line="360" w:lineRule="auto"/>
              <w:ind w:firstLine="360" w:firstLineChars="20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近3年每日进水水量(含每日降雨情况记录)</w:t>
            </w:r>
          </w:p>
        </w:tc>
      </w:tr>
      <w:tr w14:paraId="2AF12550">
        <w:tblPrEx>
          <w:tblCellMar>
            <w:top w:w="0" w:type="dxa"/>
            <w:left w:w="108" w:type="dxa"/>
            <w:bottom w:w="0" w:type="dxa"/>
            <w:right w:w="108" w:type="dxa"/>
          </w:tblCellMar>
        </w:tblPrEx>
        <w:trPr>
          <w:trHeight w:val="270" w:hRule="atLeast"/>
        </w:trPr>
        <w:tc>
          <w:tcPr>
            <w:tcW w:w="1458" w:type="pct"/>
            <w:gridSpan w:val="2"/>
            <w:tcBorders>
              <w:top w:val="single" w:color="000000" w:sz="4" w:space="0"/>
              <w:left w:val="single" w:color="000000" w:sz="4" w:space="0"/>
              <w:bottom w:val="single" w:color="000000" w:sz="4" w:space="0"/>
              <w:right w:val="single" w:color="000000" w:sz="4" w:space="0"/>
            </w:tcBorders>
            <w:noWrap/>
            <w:vAlign w:val="center"/>
          </w:tcPr>
          <w:p w14:paraId="60F3701C">
            <w:pPr>
              <w:adjustRightInd/>
              <w:spacing w:line="36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其他问题:</w:t>
            </w:r>
          </w:p>
        </w:tc>
        <w:tc>
          <w:tcPr>
            <w:tcW w:w="3541" w:type="pct"/>
            <w:gridSpan w:val="5"/>
            <w:tcBorders>
              <w:top w:val="single" w:color="000000" w:sz="4" w:space="0"/>
              <w:left w:val="single" w:color="000000" w:sz="4" w:space="0"/>
              <w:bottom w:val="single" w:color="000000" w:sz="4" w:space="0"/>
              <w:right w:val="single" w:color="000000" w:sz="4" w:space="0"/>
            </w:tcBorders>
            <w:noWrap/>
            <w:vAlign w:val="center"/>
          </w:tcPr>
          <w:p w14:paraId="3D3599C0">
            <w:pPr>
              <w:adjustRightInd/>
              <w:spacing w:line="360" w:lineRule="auto"/>
              <w:ind w:firstLine="360" w:firstLineChars="200"/>
              <w:rPr>
                <w:rFonts w:hint="eastAsia" w:ascii="宋体" w:hAnsi="宋体" w:eastAsia="宋体" w:cs="宋体"/>
                <w:kern w:val="2"/>
                <w:sz w:val="18"/>
                <w:szCs w:val="18"/>
                <w:lang w:val="en-US" w:eastAsia="zh-CN" w:bidi="ar-SA"/>
              </w:rPr>
            </w:pPr>
          </w:p>
        </w:tc>
      </w:tr>
      <w:tr w14:paraId="62458820">
        <w:tblPrEx>
          <w:tblCellMar>
            <w:top w:w="0" w:type="dxa"/>
            <w:left w:w="108" w:type="dxa"/>
            <w:bottom w:w="0" w:type="dxa"/>
            <w:right w:w="108" w:type="dxa"/>
          </w:tblCellMar>
        </w:tblPrEx>
        <w:trPr>
          <w:trHeight w:val="270" w:hRule="atLeast"/>
        </w:trPr>
        <w:tc>
          <w:tcPr>
            <w:tcW w:w="548" w:type="pct"/>
            <w:tcBorders>
              <w:top w:val="single" w:color="000000" w:sz="4" w:space="0"/>
              <w:left w:val="single" w:color="000000" w:sz="4" w:space="0"/>
              <w:bottom w:val="single" w:color="000000" w:sz="4" w:space="0"/>
              <w:right w:val="single" w:color="000000" w:sz="4" w:space="0"/>
            </w:tcBorders>
            <w:noWrap/>
            <w:vAlign w:val="center"/>
          </w:tcPr>
          <w:p w14:paraId="034A811D">
            <w:pPr>
              <w:adjustRightInd/>
              <w:spacing w:line="36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调查人:</w:t>
            </w:r>
          </w:p>
        </w:tc>
        <w:tc>
          <w:tcPr>
            <w:tcW w:w="909" w:type="pct"/>
            <w:tcBorders>
              <w:top w:val="single" w:color="000000" w:sz="4" w:space="0"/>
              <w:left w:val="single" w:color="000000" w:sz="4" w:space="0"/>
              <w:bottom w:val="single" w:color="000000" w:sz="4" w:space="0"/>
              <w:right w:val="single" w:color="000000" w:sz="4" w:space="0"/>
            </w:tcBorders>
            <w:noWrap/>
            <w:vAlign w:val="center"/>
          </w:tcPr>
          <w:p w14:paraId="429C75A1">
            <w:pPr>
              <w:adjustRightInd/>
              <w:spacing w:line="360" w:lineRule="auto"/>
              <w:ind w:firstLine="360" w:firstLineChars="200"/>
              <w:rPr>
                <w:rFonts w:hint="eastAsia" w:ascii="宋体" w:hAnsi="宋体" w:eastAsia="宋体" w:cs="宋体"/>
                <w:kern w:val="2"/>
                <w:sz w:val="18"/>
                <w:szCs w:val="18"/>
                <w:lang w:val="en-US" w:eastAsia="zh-CN" w:bidi="ar-SA"/>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21E4C5A6">
            <w:pPr>
              <w:adjustRightInd/>
              <w:spacing w:line="360" w:lineRule="auto"/>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校核人:</w:t>
            </w:r>
          </w:p>
        </w:tc>
        <w:tc>
          <w:tcPr>
            <w:tcW w:w="909" w:type="pct"/>
            <w:tcBorders>
              <w:top w:val="single" w:color="000000" w:sz="4" w:space="0"/>
              <w:left w:val="single" w:color="000000" w:sz="4" w:space="0"/>
              <w:bottom w:val="single" w:color="000000" w:sz="4" w:space="0"/>
              <w:right w:val="single" w:color="000000" w:sz="4" w:space="0"/>
            </w:tcBorders>
            <w:noWrap/>
            <w:vAlign w:val="center"/>
          </w:tcPr>
          <w:p w14:paraId="38239C69">
            <w:pPr>
              <w:adjustRightInd/>
              <w:spacing w:line="360" w:lineRule="auto"/>
              <w:ind w:firstLine="360" w:firstLineChars="200"/>
              <w:rPr>
                <w:rFonts w:hint="eastAsia" w:ascii="Times New Roman" w:hAnsi="Times New Roman" w:eastAsia="仿宋_GB2312" w:cs="Times New Roman"/>
                <w:kern w:val="2"/>
                <w:sz w:val="18"/>
                <w:szCs w:val="18"/>
                <w:lang w:val="en-US" w:eastAsia="zh-CN" w:bidi="ar-SA"/>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EE11526">
            <w:pPr>
              <w:adjustRightInd/>
              <w:spacing w:line="360" w:lineRule="auto"/>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日期:</w:t>
            </w:r>
          </w:p>
        </w:tc>
        <w:tc>
          <w:tcPr>
            <w:tcW w:w="997" w:type="pct"/>
            <w:tcBorders>
              <w:top w:val="single" w:color="000000" w:sz="4" w:space="0"/>
              <w:left w:val="single" w:color="000000" w:sz="4" w:space="0"/>
              <w:bottom w:val="single" w:color="000000" w:sz="4" w:space="0"/>
              <w:right w:val="single" w:color="000000" w:sz="4" w:space="0"/>
            </w:tcBorders>
            <w:noWrap/>
            <w:vAlign w:val="center"/>
          </w:tcPr>
          <w:p w14:paraId="655FD774">
            <w:pPr>
              <w:adjustRightInd/>
              <w:spacing w:line="360" w:lineRule="auto"/>
              <w:ind w:firstLine="360" w:firstLineChars="200"/>
              <w:rPr>
                <w:rFonts w:hint="eastAsia" w:ascii="Times New Roman" w:hAnsi="Times New Roman" w:eastAsia="仿宋_GB2312" w:cs="Times New Roman"/>
                <w:kern w:val="2"/>
                <w:sz w:val="18"/>
                <w:szCs w:val="18"/>
                <w:lang w:val="en-US" w:eastAsia="zh-CN" w:bidi="ar-SA"/>
              </w:rPr>
            </w:pPr>
          </w:p>
        </w:tc>
        <w:tc>
          <w:tcPr>
            <w:tcW w:w="760" w:type="pct"/>
            <w:tcBorders>
              <w:top w:val="single" w:color="000000" w:sz="4" w:space="0"/>
              <w:left w:val="single" w:color="000000" w:sz="4" w:space="0"/>
              <w:bottom w:val="single" w:color="000000" w:sz="4" w:space="0"/>
              <w:right w:val="single" w:color="000000" w:sz="4" w:space="0"/>
            </w:tcBorders>
            <w:noWrap/>
            <w:vAlign w:val="center"/>
          </w:tcPr>
          <w:p w14:paraId="5207B9BF">
            <w:pPr>
              <w:adjustRightInd/>
              <w:spacing w:line="360" w:lineRule="auto"/>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第 页 共 页</w:t>
            </w:r>
          </w:p>
        </w:tc>
      </w:tr>
    </w:tbl>
    <w:p w14:paraId="0C164DF7">
      <w:pPr>
        <w:pStyle w:val="41"/>
        <w:numPr>
          <w:ilvl w:val="0"/>
          <w:numId w:val="71"/>
        </w:numPr>
        <w:tabs>
          <w:tab w:val="center" w:pos="4201"/>
          <w:tab w:val="right" w:leader="dot" w:pos="9298"/>
        </w:tabs>
        <w:ind w:left="1145" w:leftChars="0" w:hanging="419" w:firstLineChars="0"/>
        <w:rPr>
          <w:rFonts w:hint="eastAsia" w:hAnsi="宋体" w:cs="宋体"/>
          <w:szCs w:val="21"/>
          <w:lang w:val="en-US" w:eastAsia="zh-CN"/>
        </w:rPr>
      </w:pPr>
      <w:r>
        <w:rPr>
          <w:rFonts w:hint="eastAsia" w:hAnsi="宋体" w:cs="宋体"/>
          <w:szCs w:val="21"/>
          <w:lang w:val="en-US" w:eastAsia="zh-CN"/>
        </w:rPr>
        <w:t>应结合城市排水规划和管网普查等资料，调查污水厂服务范围，以及其与工程（项目）边界的关系。</w:t>
      </w:r>
    </w:p>
    <w:p w14:paraId="588D6BEF">
      <w:pPr>
        <w:pStyle w:val="41"/>
        <w:numPr>
          <w:ilvl w:val="0"/>
          <w:numId w:val="71"/>
        </w:numPr>
        <w:tabs>
          <w:tab w:val="center" w:pos="4201"/>
          <w:tab w:val="right" w:leader="dot" w:pos="9298"/>
        </w:tabs>
        <w:ind w:left="1145" w:leftChars="0" w:hanging="419" w:firstLineChars="0"/>
        <w:rPr>
          <w:rFonts w:hint="eastAsia" w:hAnsi="宋体" w:cs="宋体"/>
          <w:szCs w:val="21"/>
          <w:lang w:val="en-US" w:eastAsia="zh-CN"/>
        </w:rPr>
      </w:pPr>
      <w:r>
        <w:rPr>
          <w:rFonts w:hint="eastAsia" w:hAnsi="宋体" w:cs="宋体"/>
          <w:szCs w:val="21"/>
          <w:lang w:val="en-US" w:eastAsia="zh-CN"/>
        </w:rPr>
        <w:t>可通过污水处理厂厂内及服务范围各区域管网内的在线流量监测、人工取样化验等方式调查污水厂服务范围内各区域水质水量本底数据。</w:t>
      </w:r>
    </w:p>
    <w:p w14:paraId="370F4FCF">
      <w:pPr>
        <w:pStyle w:val="41"/>
        <w:numPr>
          <w:ilvl w:val="0"/>
          <w:numId w:val="71"/>
        </w:numPr>
        <w:tabs>
          <w:tab w:val="center" w:pos="4201"/>
          <w:tab w:val="right" w:leader="dot" w:pos="9298"/>
        </w:tabs>
        <w:ind w:left="1145" w:leftChars="0" w:hanging="419" w:firstLineChars="0"/>
        <w:rPr>
          <w:rFonts w:hint="eastAsia" w:hAnsi="宋体" w:cs="宋体"/>
          <w:szCs w:val="21"/>
          <w:lang w:val="en-US" w:eastAsia="zh-CN"/>
        </w:rPr>
      </w:pPr>
      <w:r>
        <w:rPr>
          <w:rFonts w:hint="eastAsia" w:hAnsi="宋体" w:cs="宋体"/>
          <w:szCs w:val="21"/>
          <w:lang w:val="en-US" w:eastAsia="zh-CN"/>
        </w:rPr>
        <w:t>边界范围内水量调查应调查分析污水厂服务范围内污水量、渗水量、混接量以及之间的关系。水量分析可通过旱天雨天污水量差值分析法、夜间最小流量法等方法进行综合比较分析。旱天污水量差值分析法可通过污水处理厂理论污水量与旱天实测污水量进行差值计算，初步分析旱天外水入管量。Q外水入管=Q旱天实测污水量-Q理论污水量，其中，Q理论污水量表示污水厂服务范围理论计算的污水量，可通过污水厂服务范围内实际供水量与产污系数计算得出。雨天污水量差值分析法可通过污水厂理论污水量与雨天实测污水量进行差值计算，初步分析雨天外水入管量和雨水混接量。Q外水入管+Q雨水混接量=Q雨天实测污水量-Q理论污水量，其中，Q理论污水量表示污水厂服务范围理论计算的污水量，可通过污水厂服务范围内实际供水量与产污系数计算得出。夜间最小流量法以旱天凌晨用水量最小时段的污水流量来估算地下水入渗水量；对夜间用水量较大的区域，应从实测的夜间最小流量中扣除夜间用水所产生的污水量。</w:t>
      </w:r>
    </w:p>
    <w:p w14:paraId="7DF879D1">
      <w:pPr>
        <w:pStyle w:val="41"/>
        <w:numPr>
          <w:ilvl w:val="0"/>
          <w:numId w:val="70"/>
        </w:numPr>
        <w:tabs>
          <w:tab w:val="center" w:pos="4201"/>
          <w:tab w:val="right" w:leader="dot" w:pos="9298"/>
        </w:tabs>
        <w:ind w:left="726" w:leftChars="0" w:hanging="306"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源头地块调查</w:t>
      </w:r>
    </w:p>
    <w:p w14:paraId="10AF17B8">
      <w:pPr>
        <w:pStyle w:val="41"/>
        <w:numPr>
          <w:ilvl w:val="0"/>
          <w:numId w:val="72"/>
        </w:numPr>
        <w:tabs>
          <w:tab w:val="center" w:pos="4201"/>
          <w:tab w:val="right" w:leader="dot" w:pos="9298"/>
        </w:tabs>
        <w:ind w:left="1145" w:leftChars="0" w:hanging="419" w:firstLineChars="0"/>
        <w:rPr>
          <w:rFonts w:hint="eastAsia" w:hAnsi="宋体" w:cs="宋体"/>
          <w:szCs w:val="21"/>
          <w:lang w:val="en-US" w:eastAsia="zh-CN"/>
        </w:rPr>
      </w:pPr>
      <w:r>
        <w:rPr>
          <w:rFonts w:hint="eastAsia" w:hAnsi="宋体" w:cs="宋体"/>
          <w:szCs w:val="21"/>
          <w:lang w:val="en-US" w:eastAsia="zh-CN"/>
        </w:rPr>
        <w:t>源头地块地调查范围主要包括生活小区、工业企业和沿街重点排水建筑。沿街重点排水建筑主要包括餐饮、美容美发、洗车、汽车修理、菜市场、洗浴、加油站等行业排水户。</w:t>
      </w:r>
    </w:p>
    <w:p w14:paraId="7DF7AD3A">
      <w:pPr>
        <w:pStyle w:val="41"/>
        <w:numPr>
          <w:ilvl w:val="0"/>
          <w:numId w:val="72"/>
        </w:numPr>
        <w:tabs>
          <w:tab w:val="center" w:pos="4201"/>
          <w:tab w:val="right" w:leader="dot" w:pos="9298"/>
        </w:tabs>
        <w:ind w:left="1145" w:leftChars="0" w:hanging="419" w:firstLineChars="0"/>
        <w:rPr>
          <w:rFonts w:hint="eastAsia" w:hAnsi="宋体" w:cs="宋体"/>
          <w:szCs w:val="21"/>
          <w:lang w:val="en-US" w:eastAsia="zh-CN"/>
        </w:rPr>
      </w:pPr>
      <w:r>
        <w:rPr>
          <w:rFonts w:hint="eastAsia" w:hAnsi="宋体" w:cs="宋体"/>
          <w:szCs w:val="21"/>
          <w:lang w:val="en-US" w:eastAsia="zh-CN"/>
        </w:rPr>
        <w:t>生活小区调查内容应包括以下内容：</w:t>
      </w:r>
    </w:p>
    <w:p w14:paraId="3006FCC0">
      <w:pPr>
        <w:pStyle w:val="41"/>
        <w:numPr>
          <w:ilvl w:val="0"/>
          <w:numId w:val="0"/>
        </w:numPr>
        <w:tabs>
          <w:tab w:val="center" w:pos="4201"/>
          <w:tab w:val="right" w:leader="dot" w:pos="9298"/>
        </w:tabs>
        <w:ind w:left="726" w:leftChars="0" w:firstLine="420" w:firstLineChars="200"/>
        <w:rPr>
          <w:rFonts w:hint="default" w:hAnsi="宋体" w:cs="宋体"/>
          <w:szCs w:val="21"/>
          <w:lang w:val="en-US" w:eastAsia="zh-CN"/>
        </w:rPr>
      </w:pPr>
      <w:r>
        <w:rPr>
          <w:rFonts w:hint="eastAsia" w:hAnsi="宋体" w:cs="宋体"/>
          <w:szCs w:val="21"/>
          <w:lang w:val="en-US" w:eastAsia="zh-CN"/>
        </w:rPr>
        <w:t>雨水、污水、合流管道淤积情况；雨、污水、合流管道破损情况；化粪池淤积情况；游泳池、景观水体的排水情况；生活垃圾转运站点的污水排放情况；雨水管出口接管情况和排放情况；污水管出口接管情况和排放COD浓度情况；地面面源污染情况；雨污分流、混错接改造难易程度；立管混错接情况。</w:t>
      </w:r>
    </w:p>
    <w:p w14:paraId="10145D26">
      <w:pPr>
        <w:pStyle w:val="41"/>
        <w:numPr>
          <w:ilvl w:val="0"/>
          <w:numId w:val="72"/>
        </w:numPr>
        <w:tabs>
          <w:tab w:val="center" w:pos="4201"/>
          <w:tab w:val="right" w:leader="dot" w:pos="9298"/>
        </w:tabs>
        <w:ind w:left="1145" w:leftChars="0" w:hanging="419" w:firstLineChars="0"/>
        <w:rPr>
          <w:rFonts w:hint="eastAsia" w:hAnsi="宋体" w:cs="宋体"/>
          <w:szCs w:val="21"/>
          <w:lang w:val="en-US" w:eastAsia="zh-CN"/>
        </w:rPr>
      </w:pPr>
      <w:r>
        <w:rPr>
          <w:rFonts w:hint="eastAsia" w:hAnsi="宋体" w:cs="宋体"/>
          <w:szCs w:val="21"/>
          <w:lang w:val="en-US" w:eastAsia="zh-CN"/>
        </w:rPr>
        <w:t>工业企业调查内容应包括以下内容：</w:t>
      </w:r>
    </w:p>
    <w:p w14:paraId="77AF5566">
      <w:pPr>
        <w:pStyle w:val="41"/>
        <w:numPr>
          <w:ilvl w:val="0"/>
          <w:numId w:val="0"/>
        </w:numPr>
        <w:tabs>
          <w:tab w:val="center" w:pos="4201"/>
          <w:tab w:val="right" w:leader="dot" w:pos="9298"/>
        </w:tabs>
        <w:ind w:left="726" w:leftChars="0" w:firstLine="420" w:firstLineChars="200"/>
        <w:rPr>
          <w:rFonts w:hint="eastAsia" w:hAnsi="宋体" w:cs="宋体"/>
          <w:szCs w:val="21"/>
          <w:lang w:val="en-US" w:eastAsia="zh-CN"/>
        </w:rPr>
      </w:pPr>
      <w:r>
        <w:rPr>
          <w:rFonts w:hint="eastAsia" w:hAnsi="宋体" w:cs="宋体"/>
          <w:szCs w:val="21"/>
          <w:lang w:val="en-US" w:eastAsia="zh-CN"/>
        </w:rPr>
        <w:t>雨水管出口接管情况和排放情况；污水管出口接管情况和超标排放情况；废水管出口接管情况和排放情况；工厂企业偷排情况；预处理设施设置情况；面源污染情况。</w:t>
      </w:r>
    </w:p>
    <w:p w14:paraId="6E1F8719">
      <w:pPr>
        <w:pStyle w:val="41"/>
        <w:numPr>
          <w:ilvl w:val="0"/>
          <w:numId w:val="72"/>
        </w:numPr>
        <w:tabs>
          <w:tab w:val="center" w:pos="4201"/>
          <w:tab w:val="right" w:leader="dot" w:pos="9298"/>
        </w:tabs>
        <w:ind w:left="1145" w:leftChars="0" w:hanging="419" w:firstLineChars="0"/>
        <w:rPr>
          <w:rFonts w:hint="eastAsia" w:hAnsi="宋体" w:cs="宋体"/>
          <w:szCs w:val="21"/>
          <w:lang w:val="en-US" w:eastAsia="zh-CN"/>
        </w:rPr>
      </w:pPr>
      <w:r>
        <w:rPr>
          <w:rFonts w:hint="eastAsia" w:hAnsi="宋体" w:cs="宋体"/>
          <w:szCs w:val="21"/>
          <w:lang w:val="en-US" w:eastAsia="zh-CN"/>
        </w:rPr>
        <w:t>沿街建筑调查内容应包括以下内容：</w:t>
      </w:r>
    </w:p>
    <w:p w14:paraId="608CD1C0">
      <w:pPr>
        <w:pStyle w:val="41"/>
        <w:numPr>
          <w:ilvl w:val="0"/>
          <w:numId w:val="0"/>
        </w:numPr>
        <w:tabs>
          <w:tab w:val="center" w:pos="4201"/>
          <w:tab w:val="right" w:leader="dot" w:pos="9298"/>
        </w:tabs>
        <w:ind w:left="726" w:leftChars="0" w:firstLine="420" w:firstLineChars="200"/>
        <w:rPr>
          <w:rFonts w:hint="eastAsia" w:hAnsi="宋体" w:cs="宋体"/>
          <w:szCs w:val="21"/>
          <w:lang w:val="en-US" w:eastAsia="zh-CN"/>
        </w:rPr>
      </w:pPr>
      <w:r>
        <w:rPr>
          <w:rFonts w:hint="eastAsia" w:hAnsi="宋体" w:cs="宋体"/>
          <w:szCs w:val="21"/>
          <w:lang w:val="en-US" w:eastAsia="zh-CN"/>
        </w:rPr>
        <w:t>雨水管出口接管情况和排放情况；污水管出口接管情况和排放情况；预处理设施（隔油设施、油水分离装置、沉砂池、毛发收集器等）设置情况；雨水口淤堵、倾倒污水情况；面源污染情况；混错接改造难以程度。</w:t>
      </w:r>
    </w:p>
    <w:p w14:paraId="77632DA9">
      <w:pPr>
        <w:pStyle w:val="41"/>
        <w:numPr>
          <w:ilvl w:val="0"/>
          <w:numId w:val="70"/>
        </w:numPr>
        <w:tabs>
          <w:tab w:val="center" w:pos="4201"/>
          <w:tab w:val="right" w:leader="dot" w:pos="9298"/>
        </w:tabs>
        <w:ind w:left="726" w:leftChars="0" w:hanging="306"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排水管网调查</w:t>
      </w:r>
    </w:p>
    <w:p w14:paraId="7B6FBB86">
      <w:pPr>
        <w:pStyle w:val="41"/>
        <w:numPr>
          <w:ilvl w:val="0"/>
          <w:numId w:val="0"/>
        </w:numPr>
        <w:tabs>
          <w:tab w:val="center" w:pos="4201"/>
          <w:tab w:val="right" w:leader="dot" w:pos="9298"/>
        </w:tabs>
        <w:ind w:left="420" w:leftChars="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调查内容主要包括流域地下水位、检查井、雨水管渠、污水管渠、泵站、现状截流设施、调蓄设施、污水就地处理设施和排水口。检查井应调查井体构筑物地材料和外渗入渗等情况。泵站应调查位置、启泵液位、停泵液位、水泵型号参数和数量等情况。现状截流设施应调查截流管和出水管控制情况。调蓄设施应调查调蓄容积、调蓄类型、进水控制方式和排空时间等情况。污水就地处理设施应重点调查进水量（m</w:t>
      </w:r>
      <w:r>
        <w:rPr>
          <w:rFonts w:hint="eastAsia" w:ascii="宋体" w:hAnsi="宋体" w:eastAsia="宋体" w:cs="宋体"/>
          <w:szCs w:val="21"/>
          <w:vertAlign w:val="superscript"/>
          <w:lang w:val="en-US" w:eastAsia="zh-CN"/>
        </w:rPr>
        <w:t>3</w:t>
      </w:r>
      <w:r>
        <w:rPr>
          <w:rFonts w:hint="eastAsia" w:ascii="宋体" w:hAnsi="宋体" w:eastAsia="宋体" w:cs="宋体"/>
          <w:szCs w:val="21"/>
          <w:lang w:val="en-US" w:eastAsia="zh-CN"/>
        </w:rPr>
        <w:t>/d）、进水水质、出水水质和设计处理量（m</w:t>
      </w:r>
      <w:r>
        <w:rPr>
          <w:rFonts w:hint="eastAsia" w:ascii="宋体" w:hAnsi="宋体" w:eastAsia="宋体" w:cs="宋体"/>
          <w:szCs w:val="21"/>
          <w:vertAlign w:val="superscript"/>
          <w:lang w:val="en-US" w:eastAsia="zh-CN"/>
        </w:rPr>
        <w:t>3</w:t>
      </w:r>
      <w:r>
        <w:rPr>
          <w:rFonts w:hint="eastAsia" w:ascii="宋体" w:hAnsi="宋体" w:eastAsia="宋体" w:cs="宋体"/>
          <w:szCs w:val="21"/>
          <w:lang w:val="en-US" w:eastAsia="zh-CN"/>
        </w:rPr>
        <w:t>/d）。排水口应重点调查排水口类型、尺寸、雨水排放口的污染源、河湖倒灌、污水直排等情况。排水管道应重点调查：管道位置、管径、连接关系、管材、流向；管道混（错）接、管道健康度和污水系统外水调查等问题情况。</w:t>
      </w:r>
    </w:p>
    <w:p w14:paraId="1562153F">
      <w:pPr>
        <w:pStyle w:val="41"/>
        <w:numPr>
          <w:ilvl w:val="0"/>
          <w:numId w:val="70"/>
        </w:numPr>
        <w:tabs>
          <w:tab w:val="center" w:pos="4201"/>
          <w:tab w:val="right" w:leader="dot" w:pos="9298"/>
        </w:tabs>
        <w:ind w:left="726" w:leftChars="0" w:hanging="306"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初雨特征调查</w:t>
      </w:r>
    </w:p>
    <w:p w14:paraId="00F2F702">
      <w:pPr>
        <w:pStyle w:val="41"/>
        <w:numPr>
          <w:ilvl w:val="0"/>
          <w:numId w:val="0"/>
        </w:numPr>
        <w:tabs>
          <w:tab w:val="center" w:pos="4201"/>
          <w:tab w:val="right" w:leader="dot" w:pos="9298"/>
        </w:tabs>
        <w:ind w:left="420" w:leftChars="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调查的目的是为了了解在降雨时雨水管网内的水质、水量情况，为流域初期雨水的截流、调蓄和在线处理提供数据支持。调查点位主要包括面源污染比较严重的</w:t>
      </w:r>
      <w:bookmarkStart w:id="156" w:name="_GoBack"/>
      <w:bookmarkEnd w:id="156"/>
      <w:r>
        <w:rPr>
          <w:rFonts w:hint="eastAsia" w:ascii="宋体" w:hAnsi="宋体" w:eastAsia="宋体" w:cs="宋体"/>
          <w:szCs w:val="21"/>
          <w:lang w:val="en-US" w:eastAsia="zh-CN"/>
        </w:rPr>
        <w:t>工厂企业、老旧小区、城中村雨水管出水口和沿街重点排水建筑附近的市政雨水管。调查方式宜采用自动监测对降雨期间排放的水质和水量进行连续监测，监测的指标应包含水质、流量和雨量，监测的降雨应包含一场降雨量不小于15mm的降雨。</w:t>
      </w:r>
    </w:p>
    <w:p w14:paraId="6FB9A6C5">
      <w:pPr>
        <w:pStyle w:val="41"/>
        <w:ind w:left="0" w:leftChars="0" w:firstLine="0" w:firstLineChars="0"/>
        <w:rPr>
          <w:rFonts w:hint="default" w:hAnsi="宋体" w:eastAsia="宋体" w:cs="宋体"/>
          <w:sz w:val="21"/>
          <w:szCs w:val="21"/>
          <w:lang w:val="en-US" w:eastAsia="zh-CN"/>
        </w:rPr>
      </w:pPr>
      <w:r>
        <w:rPr>
          <w:rFonts w:hint="eastAsia" w:hAnsi="宋体" w:eastAsia="宋体" w:cs="宋体"/>
          <w:sz w:val="21"/>
          <w:szCs w:val="21"/>
          <w:lang w:val="en-US" w:eastAsia="zh-CN"/>
        </w:rPr>
        <w:t>5.1.3 城区既有的分流制区域，</w:t>
      </w:r>
      <w:r>
        <w:rPr>
          <w:rFonts w:hint="default" w:hAnsi="宋体" w:eastAsia="宋体" w:cs="宋体"/>
          <w:sz w:val="21"/>
          <w:szCs w:val="21"/>
          <w:lang w:val="en-US" w:eastAsia="zh-CN"/>
        </w:rPr>
        <w:t>市政主管网应优先实施混错接点改造</w:t>
      </w:r>
      <w:r>
        <w:rPr>
          <w:rFonts w:hint="eastAsia" w:hAnsi="宋体" w:eastAsia="宋体" w:cs="宋体"/>
          <w:sz w:val="21"/>
          <w:szCs w:val="21"/>
          <w:lang w:val="en-US" w:eastAsia="zh-CN"/>
        </w:rPr>
        <w:t>，对污水管错接至雨水管、雨水管错接至污水管等问题进行封堵并改接至对应的管网系统。对于源头存在混错接的分流制区域，也</w:t>
      </w:r>
      <w:r>
        <w:rPr>
          <w:rFonts w:hint="default" w:hAnsi="宋体" w:eastAsia="宋体" w:cs="宋体"/>
          <w:sz w:val="21"/>
          <w:szCs w:val="21"/>
          <w:lang w:val="en-US" w:eastAsia="zh-CN"/>
        </w:rPr>
        <w:t>应优先实施混错接点改造</w:t>
      </w:r>
      <w:r>
        <w:rPr>
          <w:rFonts w:hint="eastAsia" w:hAnsi="宋体" w:eastAsia="宋体" w:cs="宋体"/>
          <w:sz w:val="21"/>
          <w:szCs w:val="21"/>
          <w:lang w:val="en-US" w:eastAsia="zh-CN"/>
        </w:rPr>
        <w:t>，暂不具备改造条件的，宜在源头地块雨水接驳市政雨水干管前及市政雨水干管上每隔一定距离设置智能截流设施，在源头地块实现“清水不进厂、污水不入河”的目标。</w:t>
      </w:r>
    </w:p>
    <w:p w14:paraId="26B37C30">
      <w:pPr>
        <w:pStyle w:val="41"/>
        <w:ind w:left="0" w:leftChars="0" w:firstLine="0" w:firstLineChars="0"/>
        <w:rPr>
          <w:rFonts w:hint="eastAsia" w:hAnsi="宋体" w:eastAsia="宋体" w:cs="宋体"/>
          <w:sz w:val="21"/>
          <w:szCs w:val="21"/>
          <w:lang w:val="en-US" w:eastAsia="zh-CN"/>
        </w:rPr>
      </w:pPr>
      <w:r>
        <w:rPr>
          <w:rFonts w:hint="eastAsia" w:hAnsi="宋体" w:eastAsia="宋体" w:cs="宋体"/>
          <w:sz w:val="21"/>
          <w:szCs w:val="21"/>
          <w:lang w:val="en-US" w:eastAsia="zh-CN"/>
        </w:rPr>
        <w:t xml:space="preserve">5.1.4 </w:t>
      </w:r>
      <w:r>
        <w:rPr>
          <w:rFonts w:hint="eastAsia" w:hAnsi="宋体" w:eastAsia="宋体" w:cs="宋体"/>
          <w:sz w:val="21"/>
          <w:szCs w:val="21"/>
          <w:highlight w:val="none"/>
          <w:lang w:val="en-US" w:eastAsia="zh-CN"/>
        </w:rPr>
        <w:t>《城乡排水工程项目规范》</w:t>
      </w:r>
      <w:r>
        <w:rPr>
          <w:rFonts w:hint="default" w:hAnsi="宋体" w:eastAsia="宋体" w:cs="宋体"/>
          <w:sz w:val="21"/>
          <w:szCs w:val="21"/>
          <w:highlight w:val="none"/>
          <w:lang w:val="en-US" w:eastAsia="zh-CN"/>
        </w:rPr>
        <w:t>GB 55027</w:t>
      </w:r>
      <w:r>
        <w:rPr>
          <w:rFonts w:hint="eastAsia" w:hAnsi="宋体" w:cs="宋体"/>
          <w:sz w:val="21"/>
          <w:szCs w:val="21"/>
          <w:highlight w:val="none"/>
          <w:lang w:val="en-US" w:eastAsia="zh-CN"/>
        </w:rPr>
        <w:t>-2022中第</w:t>
      </w:r>
      <w:r>
        <w:rPr>
          <w:rFonts w:hint="default" w:hAnsi="宋体" w:eastAsia="宋体" w:cs="宋体"/>
          <w:sz w:val="21"/>
          <w:szCs w:val="21"/>
          <w:highlight w:val="none"/>
          <w:lang w:val="en-US" w:eastAsia="zh-CN"/>
        </w:rPr>
        <w:t>2.1.3</w:t>
      </w:r>
      <w:r>
        <w:rPr>
          <w:rFonts w:hint="eastAsia" w:hAnsi="宋体" w:eastAsia="宋体" w:cs="宋体"/>
          <w:sz w:val="21"/>
          <w:szCs w:val="21"/>
          <w:highlight w:val="none"/>
          <w:lang w:val="en-US" w:eastAsia="zh-CN"/>
        </w:rPr>
        <w:t>条</w:t>
      </w:r>
      <w:r>
        <w:rPr>
          <w:rFonts w:hint="eastAsia" w:hAnsi="宋体" w:eastAsia="宋体" w:cs="宋体"/>
          <w:sz w:val="21"/>
          <w:szCs w:val="21"/>
          <w:lang w:val="en-US" w:eastAsia="zh-CN"/>
        </w:rPr>
        <w:t>规定：“既有合流制排水系统，应综合考虑建设成本、实施可行性和工程效益，经技术经济比较后实施雨水、污水分流改造；暂不具备改造条件的，应根据受纳水体水质目标和水环境容量，确定溢流污染控制目标，并应采取综合措施，控制溢流污染。”根据强制性规范和条例要求，本标准明确了对于既有合流制排水系统的改造原则，具备改造条件，技术、经济、社会环境效益上可行的应进行分流制改造，暂不具备条件的，应采取截流、调蓄、真空排水系统等措施对合流制排水系统的溢流污染进行治理。</w:t>
      </w:r>
    </w:p>
    <w:p w14:paraId="2CE88E63">
      <w:pPr>
        <w:pStyle w:val="41"/>
        <w:ind w:left="0" w:leftChars="0" w:firstLine="0" w:firstLineChars="0"/>
        <w:rPr>
          <w:rFonts w:hint="eastAsia" w:hAnsi="宋体" w:eastAsia="宋体" w:cs="宋体"/>
          <w:sz w:val="21"/>
          <w:szCs w:val="21"/>
          <w:lang w:val="en-US" w:eastAsia="zh-CN"/>
        </w:rPr>
      </w:pPr>
      <w:r>
        <w:rPr>
          <w:rFonts w:hint="eastAsia" w:hAnsi="宋体" w:eastAsia="宋体" w:cs="宋体"/>
          <w:sz w:val="21"/>
          <w:szCs w:val="21"/>
          <w:lang w:val="en-US" w:eastAsia="zh-CN"/>
        </w:rPr>
        <w:t>5.1.5 外水入流入渗会导致污水管网运行水位抬升，降低污水处理厂进水浓度，从而增加污水处理厂的处理负荷，极端情况下引发污水溢流、污水井冒溢或管道破裂，根据《城镇污水处理提质增效三年行动方案》，污水管网外水占比应≤20%，地下水渗入量需通过监测与修复措施精准控制。根据以上要求，排水管涵应进行入流水和入渗水水量的排査，对于入流和入渗异常的排水区域或管段，应采取重点排查混错接情况、管道设施情况，并采取必要的预防和修复措施严控入流水和入渗水等外水入侵。</w:t>
      </w:r>
    </w:p>
    <w:p w14:paraId="17211205">
      <w:pPr>
        <w:pStyle w:val="40"/>
        <w:spacing w:before="156" w:after="156"/>
        <w:outlineLvl w:val="3"/>
      </w:pPr>
      <w:r>
        <w:rPr>
          <w:rFonts w:hint="eastAsia"/>
          <w:lang w:val="en-US" w:eastAsia="zh-CN"/>
        </w:rPr>
        <w:t>5</w:t>
      </w:r>
      <w:r>
        <w:rPr>
          <w:rFonts w:hint="eastAsia"/>
        </w:rPr>
        <w:t>.</w:t>
      </w:r>
      <w:r>
        <w:rPr>
          <w:rFonts w:hint="eastAsia"/>
          <w:lang w:val="en-US" w:eastAsia="zh-CN"/>
        </w:rPr>
        <w:t>2</w:t>
      </w:r>
      <w:r>
        <w:rPr>
          <w:rFonts w:hint="eastAsia"/>
        </w:rPr>
        <w:t xml:space="preserve"> 市政</w:t>
      </w:r>
      <w:r>
        <w:rPr>
          <w:rFonts w:hint="eastAsia"/>
          <w:lang w:val="en-US" w:eastAsia="zh-CN"/>
        </w:rPr>
        <w:t>道路</w:t>
      </w:r>
      <w:r>
        <w:rPr>
          <w:rFonts w:hint="eastAsia"/>
        </w:rPr>
        <w:t>清污分流</w:t>
      </w:r>
    </w:p>
    <w:p w14:paraId="55690A3A">
      <w:pPr>
        <w:pStyle w:val="41"/>
        <w:ind w:left="0" w:leftChars="0" w:firstLine="0" w:firstLineChars="0"/>
        <w:rPr>
          <w:rFonts w:hint="default" w:hAnsi="宋体" w:eastAsia="宋体" w:cs="宋体"/>
          <w:lang w:val="en-US" w:eastAsia="zh-CN"/>
        </w:rPr>
      </w:pPr>
      <w:r>
        <w:rPr>
          <w:rFonts w:hint="eastAsia" w:hAnsi="宋体" w:eastAsia="宋体" w:cs="宋体"/>
          <w:lang w:val="en-US" w:eastAsia="zh-CN"/>
        </w:rPr>
        <w:t xml:space="preserve">5.2.1 </w:t>
      </w:r>
      <w:r>
        <w:rPr>
          <w:rFonts w:hint="default" w:hAnsi="宋体" w:eastAsia="宋体" w:cs="宋体"/>
          <w:lang w:val="en-US" w:eastAsia="zh-CN"/>
        </w:rPr>
        <w:t>市政主道路的清污分流改造范围应基于道路管网的现状检测评估结果确定，优先针对高水位运行管段、雨污混接频发段及重大结构性缺陷段</w:t>
      </w:r>
      <w:r>
        <w:rPr>
          <w:rFonts w:hint="eastAsia" w:hAnsi="宋体" w:eastAsia="宋体" w:cs="宋体"/>
          <w:lang w:val="en-US" w:eastAsia="zh-CN"/>
        </w:rPr>
        <w:t>。</w:t>
      </w:r>
      <w:r>
        <w:rPr>
          <w:rFonts w:hint="default" w:hAnsi="宋体" w:eastAsia="宋体" w:cs="宋体"/>
          <w:lang w:val="en-US" w:eastAsia="zh-CN"/>
        </w:rPr>
        <w:t>改造方案需与城市排水</w:t>
      </w:r>
      <w:r>
        <w:rPr>
          <w:rFonts w:hint="eastAsia" w:hAnsi="宋体" w:eastAsia="宋体" w:cs="宋体"/>
          <w:lang w:val="en-US" w:eastAsia="zh-CN"/>
        </w:rPr>
        <w:t>专项</w:t>
      </w:r>
      <w:r>
        <w:rPr>
          <w:rFonts w:hint="default" w:hAnsi="宋体" w:eastAsia="宋体" w:cs="宋体"/>
          <w:lang w:val="en-US" w:eastAsia="zh-CN"/>
        </w:rPr>
        <w:t>规划、海绵城市专项规划衔接，结合路网升级、旧城更新等工程分阶段实施，确保工程经济性与可操作性。</w:t>
      </w:r>
    </w:p>
    <w:p w14:paraId="567C7060">
      <w:pPr>
        <w:pStyle w:val="41"/>
        <w:ind w:left="0" w:leftChars="0" w:firstLine="0" w:firstLineChars="0"/>
        <w:rPr>
          <w:rFonts w:hint="eastAsia" w:hAnsi="宋体" w:eastAsia="宋体" w:cs="宋体"/>
        </w:rPr>
      </w:pPr>
      <w:r>
        <w:rPr>
          <w:rFonts w:hint="eastAsia" w:hAnsi="宋体" w:eastAsia="宋体" w:cs="宋体"/>
          <w:lang w:val="en-US" w:eastAsia="zh-CN"/>
        </w:rPr>
        <w:t xml:space="preserve">5.2.2 </w:t>
      </w:r>
      <w:r>
        <w:rPr>
          <w:rFonts w:hint="eastAsia" w:hAnsi="宋体" w:eastAsia="宋体" w:cs="宋体"/>
        </w:rPr>
        <w:t>市政主</w:t>
      </w:r>
      <w:r>
        <w:rPr>
          <w:rFonts w:hint="eastAsia" w:hAnsi="宋体" w:eastAsia="宋体" w:cs="宋体"/>
          <w:lang w:val="en-US" w:eastAsia="zh-CN"/>
        </w:rPr>
        <w:t>道路</w:t>
      </w:r>
      <w:r>
        <w:rPr>
          <w:rFonts w:hint="eastAsia" w:hAnsi="宋体" w:eastAsia="宋体" w:cs="宋体"/>
        </w:rPr>
        <w:t>的清污分流</w:t>
      </w:r>
      <w:r>
        <w:rPr>
          <w:rFonts w:hint="eastAsia" w:hAnsi="宋体" w:eastAsia="宋体" w:cs="宋体"/>
          <w:lang w:val="en-US" w:eastAsia="zh-CN"/>
        </w:rPr>
        <w:t>应能</w:t>
      </w:r>
      <w:r>
        <w:rPr>
          <w:rFonts w:hint="eastAsia" w:hAnsi="宋体" w:eastAsia="宋体" w:cs="宋体"/>
        </w:rPr>
        <w:t>实现市政主管</w:t>
      </w:r>
      <w:r>
        <w:rPr>
          <w:rFonts w:hint="eastAsia" w:hAnsi="宋体" w:eastAsia="宋体" w:cs="宋体"/>
          <w:lang w:val="en-US" w:eastAsia="zh-CN"/>
        </w:rPr>
        <w:t>网完全</w:t>
      </w:r>
      <w:r>
        <w:rPr>
          <w:rFonts w:hint="eastAsia" w:hAnsi="宋体" w:eastAsia="宋体" w:cs="宋体"/>
        </w:rPr>
        <w:t>雨污分流</w:t>
      </w:r>
      <w:r>
        <w:rPr>
          <w:rFonts w:hint="eastAsia" w:hAnsi="宋体" w:eastAsia="宋体" w:cs="宋体"/>
          <w:lang w:eastAsia="zh-CN"/>
        </w:rPr>
        <w:t>。</w:t>
      </w:r>
    </w:p>
    <w:p w14:paraId="4BD5E4F8">
      <w:pPr>
        <w:pStyle w:val="41"/>
        <w:numPr>
          <w:ilvl w:val="0"/>
          <w:numId w:val="73"/>
        </w:numPr>
        <w:tabs>
          <w:tab w:val="center" w:pos="4201"/>
          <w:tab w:val="right" w:leader="dot" w:pos="9298"/>
        </w:tabs>
        <w:ind w:left="726" w:leftChars="0" w:hanging="306"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合流制排水系统改造是一项牵涉面广且繁杂巨细的工作，应对系统的全部支管和上下游管道进行溯源调查、梳理认定，然后逐根制定改接方案，方能确保改造后见成效，如有一根搞不清楚，可能就会造成新的混错接，导致雨污分流不彻底。本条强调了合流制排水系统改造为分流制时，对原有排水系统进行全面调查、梳理的重要性。市政排水管网的调查范围应包括管道性质、管材、健康状况、起止点位置、高程、管径、检查井、雨水口、上下游设施等，排水单元内部的调查范围应包括庭院排水系统及附属设施的现状、建筑雨污水立管的接驳情况等。新建污水管的改造方式适用于污水收集率低、现状管道腐蚀严重的区域，需确保污水管径及坡度满足旱季流量要求，并配套接入污水处理设施。新建雨水管的改造方式适用于雨水排放能力不足、内涝频发的区域。狭窄街区或历史保护区域，可通过截流倍数优化、调蓄池建设等过渡措施控制溢流，逐步实现完全分流。</w:t>
      </w:r>
    </w:p>
    <w:p w14:paraId="184E41F9">
      <w:pPr>
        <w:pStyle w:val="41"/>
        <w:numPr>
          <w:ilvl w:val="0"/>
          <w:numId w:val="74"/>
        </w:numPr>
        <w:tabs>
          <w:tab w:val="center" w:pos="4201"/>
          <w:tab w:val="right" w:leader="dot" w:pos="9298"/>
        </w:tabs>
        <w:ind w:left="1145" w:leftChars="0" w:hanging="419" w:firstLineChars="0"/>
        <w:rPr>
          <w:rFonts w:hint="eastAsia" w:ascii="Times New Roman" w:hAnsi="Times New Roman" w:eastAsia="仿宋_GB2312" w:cs="Times New Roman"/>
          <w:sz w:val="18"/>
          <w:szCs w:val="18"/>
          <w:lang w:val="en-US" w:eastAsia="zh-CN"/>
        </w:rPr>
      </w:pPr>
      <w:r>
        <w:rPr>
          <w:rFonts w:hint="eastAsia" w:hAnsi="宋体" w:cs="宋体"/>
          <w:szCs w:val="21"/>
          <w:lang w:val="en-US" w:eastAsia="zh-CN"/>
        </w:rPr>
        <w:t>当现状合流制管道的尺寸、坡度、高程均满足雨水设计流量及排水规划要求时，优先保留其作为雨水管道使用，可充分利用既有设施资源，减少重复投资和工程对城市运行的影响。保留原有合流管道作为雨水管道需满足以下前提：</w:t>
      </w:r>
    </w:p>
    <w:p w14:paraId="26088873">
      <w:pPr>
        <w:pStyle w:val="41"/>
        <w:numPr>
          <w:ilvl w:val="0"/>
          <w:numId w:val="0"/>
        </w:numPr>
        <w:tabs>
          <w:tab w:val="center" w:pos="4201"/>
          <w:tab w:val="right" w:leader="dot" w:pos="9298"/>
        </w:tabs>
        <w:ind w:left="726"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（1）水力条件：通过水力计算验证管道在规划雨水重现期下的排水能力，确保无内涝风险；</w:t>
      </w:r>
    </w:p>
    <w:p w14:paraId="6BA03707">
      <w:pPr>
        <w:pStyle w:val="41"/>
        <w:numPr>
          <w:ilvl w:val="0"/>
          <w:numId w:val="0"/>
        </w:numPr>
        <w:tabs>
          <w:tab w:val="center" w:pos="4201"/>
          <w:tab w:val="right" w:leader="dot" w:pos="9298"/>
        </w:tabs>
        <w:ind w:left="726"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（2）管道完整性：经CCTV检测或人工排查，确认管道无结构性破损、严重渗漏或错接问题；</w:t>
      </w:r>
    </w:p>
    <w:p w14:paraId="7B8ACEA3">
      <w:pPr>
        <w:pStyle w:val="41"/>
        <w:numPr>
          <w:ilvl w:val="0"/>
          <w:numId w:val="0"/>
        </w:numPr>
        <w:tabs>
          <w:tab w:val="center" w:pos="4201"/>
          <w:tab w:val="right" w:leader="dot" w:pos="9298"/>
        </w:tabs>
        <w:ind w:left="726"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（3）高程适配性：保留管道的高程应与区域雨水系统衔接顺畅，避免改造后出现逆坡或壅水现象。</w:t>
      </w:r>
    </w:p>
    <w:p w14:paraId="35D0282E">
      <w:pPr>
        <w:pStyle w:val="41"/>
        <w:numPr>
          <w:ilvl w:val="0"/>
          <w:numId w:val="74"/>
        </w:numPr>
        <w:tabs>
          <w:tab w:val="center" w:pos="4201"/>
          <w:tab w:val="right" w:leader="dot" w:pos="9298"/>
        </w:tabs>
        <w:ind w:left="1145" w:leftChars="0" w:hanging="419" w:firstLineChars="0"/>
        <w:rPr>
          <w:rFonts w:hint="eastAsia" w:hAnsi="宋体" w:cs="宋体"/>
          <w:szCs w:val="21"/>
          <w:lang w:val="en-US" w:eastAsia="zh-CN"/>
        </w:rPr>
      </w:pPr>
      <w:r>
        <w:rPr>
          <w:rFonts w:hint="eastAsia" w:hAnsi="宋体" w:cs="宋体"/>
          <w:szCs w:val="21"/>
          <w:lang w:val="en-US" w:eastAsia="zh-CN"/>
        </w:rPr>
        <w:t>本条规定了保留原有合流管道作为污水管，新建雨水管道的改造原则，仅适用于合流管道尺寸仅满足污水过流、排水管网高程、排水规划要求的工况。</w:t>
      </w:r>
    </w:p>
    <w:p w14:paraId="6B2AF937">
      <w:pPr>
        <w:pStyle w:val="41"/>
        <w:numPr>
          <w:ilvl w:val="0"/>
          <w:numId w:val="73"/>
        </w:numPr>
        <w:tabs>
          <w:tab w:val="center" w:pos="4201"/>
          <w:tab w:val="right" w:leader="dot" w:pos="9298"/>
        </w:tabs>
        <w:ind w:left="726" w:leftChars="0" w:hanging="306"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现状为分流制管网，应根据管网排查成果进行混错接改造：</w:t>
      </w:r>
    </w:p>
    <w:p w14:paraId="4CD02E4E">
      <w:pPr>
        <w:pStyle w:val="41"/>
        <w:numPr>
          <w:ilvl w:val="0"/>
          <w:numId w:val="0"/>
        </w:numPr>
        <w:tabs>
          <w:tab w:val="center" w:pos="4201"/>
          <w:tab w:val="right" w:leader="dot" w:pos="9298"/>
        </w:tabs>
        <w:ind w:left="726" w:leftChars="0"/>
        <w:rPr>
          <w:rFonts w:hint="eastAsia" w:hAnsi="宋体" w:cs="宋体"/>
          <w:szCs w:val="21"/>
          <w:lang w:val="en-US" w:eastAsia="zh-CN"/>
        </w:rPr>
      </w:pPr>
      <w:r>
        <w:rPr>
          <w:rFonts w:hint="eastAsia" w:hAnsi="宋体" w:cs="宋体"/>
          <w:szCs w:val="21"/>
          <w:lang w:val="en-US" w:eastAsia="zh-CN"/>
        </w:rPr>
        <w:t>2）《城市黑臭水体治理攻坚战实施方案》（建城</w:t>
      </w:r>
      <w:r>
        <w:rPr>
          <w:rFonts w:hint="default" w:hAnsi="宋体" w:cs="宋体"/>
          <w:szCs w:val="21"/>
          <w:lang w:val="en-US" w:eastAsia="zh-CN"/>
        </w:rPr>
        <w:t xml:space="preserve">[2018]104 </w:t>
      </w:r>
      <w:r>
        <w:rPr>
          <w:rFonts w:hint="eastAsia" w:hAnsi="宋体" w:cs="宋体"/>
          <w:szCs w:val="21"/>
          <w:lang w:val="en-US" w:eastAsia="zh-CN"/>
        </w:rPr>
        <w:t>号）指出，要削减合流制溢流污染，全面推进建筑小区、企事业单位内部和市政雨污水管道混错接改造。《城镇污水处理提质增效三年行动方案（</w:t>
      </w:r>
      <w:r>
        <w:rPr>
          <w:rFonts w:hint="default" w:hAnsi="宋体" w:cs="宋体"/>
          <w:szCs w:val="21"/>
          <w:lang w:val="en-US" w:eastAsia="zh-CN"/>
        </w:rPr>
        <w:t xml:space="preserve">2019-2021 </w:t>
      </w:r>
      <w:r>
        <w:rPr>
          <w:rFonts w:hint="eastAsia" w:hAnsi="宋体" w:cs="宋体"/>
          <w:szCs w:val="21"/>
          <w:lang w:val="en-US" w:eastAsia="zh-CN"/>
        </w:rPr>
        <w:t>年）》（建城〔</w:t>
      </w:r>
      <w:r>
        <w:rPr>
          <w:rFonts w:hint="default" w:hAnsi="宋体" w:cs="宋体"/>
          <w:szCs w:val="21"/>
          <w:lang w:val="en-US" w:eastAsia="zh-CN"/>
        </w:rPr>
        <w:t>2019</w:t>
      </w:r>
      <w:r>
        <w:rPr>
          <w:rFonts w:hint="eastAsia" w:hAnsi="宋体" w:cs="宋体"/>
          <w:szCs w:val="21"/>
          <w:lang w:val="en-US" w:eastAsia="zh-CN"/>
        </w:rPr>
        <w:t>〕</w:t>
      </w:r>
      <w:r>
        <w:rPr>
          <w:rFonts w:hint="default" w:hAnsi="宋体" w:cs="宋体"/>
          <w:szCs w:val="21"/>
          <w:lang w:val="en-US" w:eastAsia="zh-CN"/>
        </w:rPr>
        <w:t xml:space="preserve">52 </w:t>
      </w:r>
      <w:r>
        <w:rPr>
          <w:rFonts w:hint="eastAsia" w:hAnsi="宋体" w:cs="宋体"/>
          <w:szCs w:val="21"/>
          <w:lang w:val="en-US" w:eastAsia="zh-CN"/>
        </w:rPr>
        <w:t>号）也要求各地实施管网混错接改造、管网更新、破损修复改造等工程。在混错接改造设计中，应衔接上下游管道的相关工程，增强改造工程的整体系统性与统筹性。排水管道混错接改造设计应按GB 50014 的要求执行。</w:t>
      </w:r>
    </w:p>
    <w:p w14:paraId="7179EF87">
      <w:pPr>
        <w:pStyle w:val="41"/>
        <w:numPr>
          <w:ilvl w:val="0"/>
          <w:numId w:val="73"/>
        </w:numPr>
        <w:tabs>
          <w:tab w:val="center" w:pos="4201"/>
          <w:tab w:val="right" w:leader="dot" w:pos="9298"/>
        </w:tabs>
        <w:ind w:left="726" w:leftChars="0" w:hanging="306"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污水主次管设计应按照相关规划，统筹考虑上游道路周边地块污水的接入及下游污水系统标高衔接的要求，强化污水管网的系统性，通过科学合理的前端预留，优化城市建设时序，减少重复开挖造成的"拉链马路"现象，提升市政基础设施服务效能。</w:t>
      </w:r>
    </w:p>
    <w:p w14:paraId="422201E1">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5.2.4 部分地市地下水位高，因此防止入渗是一个重要工作。控制入渗，除防止管道、构筑物的结构性损伤外，主要针对检查井、井和管道之间的接口、管段之间的接口开展，加强防渗、防止接口位移和扭曲等措施。此外，如管道损伤，则可采取管道修复，包括开挖修复和翻转式原位固化、管片内衬、紫外光固化原位修复、树脂固化局部修复、穿插法、不锈钢双胀环等非开挖修复技术。</w:t>
      </w:r>
    </w:p>
    <w:p w14:paraId="1823E253">
      <w:pPr>
        <w:pStyle w:val="40"/>
        <w:spacing w:before="156" w:after="156"/>
        <w:outlineLvl w:val="3"/>
      </w:pPr>
      <w:r>
        <w:rPr>
          <w:rFonts w:hint="eastAsia"/>
          <w:lang w:val="en-US" w:eastAsia="zh-CN"/>
        </w:rPr>
        <w:t>5</w:t>
      </w:r>
      <w:r>
        <w:rPr>
          <w:rFonts w:hint="eastAsia"/>
        </w:rPr>
        <w:t>.</w:t>
      </w:r>
      <w:r>
        <w:rPr>
          <w:rFonts w:hint="eastAsia"/>
          <w:lang w:val="en-US" w:eastAsia="zh-CN"/>
        </w:rPr>
        <w:t>3</w:t>
      </w:r>
      <w:r>
        <w:rPr>
          <w:rFonts w:hint="eastAsia"/>
        </w:rPr>
        <w:t xml:space="preserve"> 源头分流制区域清污分流</w:t>
      </w:r>
    </w:p>
    <w:p w14:paraId="4969FA18">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5.3.2 本条规定了源头分流制区域清污分流的改造原则，宜通过小区内部管网混错接点改造、立管分流改造、小区雨水管出口智能分流和市政雨水管智能分流等综合措施解决源头分流制区域的面源污染和污水混错接等问题。</w:t>
      </w:r>
    </w:p>
    <w:p w14:paraId="2C3D995B">
      <w:pPr>
        <w:pStyle w:val="40"/>
        <w:spacing w:before="156" w:after="156"/>
        <w:outlineLvl w:val="3"/>
        <w:rPr>
          <w:rFonts w:hint="eastAsia"/>
        </w:rPr>
      </w:pPr>
      <w:r>
        <w:rPr>
          <w:rFonts w:hint="eastAsia"/>
          <w:lang w:val="en-US" w:eastAsia="zh-CN"/>
        </w:rPr>
        <w:t>5</w:t>
      </w:r>
      <w:r>
        <w:rPr>
          <w:rFonts w:hint="eastAsia"/>
        </w:rPr>
        <w:t>.</w:t>
      </w:r>
      <w:r>
        <w:rPr>
          <w:rFonts w:hint="eastAsia"/>
          <w:lang w:val="en-US" w:eastAsia="zh-CN"/>
        </w:rPr>
        <w:t>4</w:t>
      </w:r>
      <w:r>
        <w:rPr>
          <w:rFonts w:hint="eastAsia"/>
        </w:rPr>
        <w:t xml:space="preserve"> 源头合流制区域清污分流</w:t>
      </w:r>
    </w:p>
    <w:p w14:paraId="2A252774">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5.4.2 本条规定了既有的合流制区域采取应分尽分，对于实施重力流雨污分流困难的以下场景宜采用真空排水系统，同时明确了真空排水系统的适用工况。</w:t>
      </w:r>
    </w:p>
    <w:p w14:paraId="16967960">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5.4.3 合流制片区采取应分尽分，不能采用传统雨污分流的源头合流地块应采用数智雨污分流、真空排水系统、调蓄和处理等措施控制溢流污染。</w:t>
      </w:r>
    </w:p>
    <w:p w14:paraId="754FA6AA">
      <w:pPr>
        <w:pStyle w:val="40"/>
        <w:spacing w:before="156" w:after="156"/>
        <w:outlineLvl w:val="3"/>
      </w:pPr>
      <w:r>
        <w:rPr>
          <w:rFonts w:hint="eastAsia"/>
          <w:lang w:val="en-US" w:eastAsia="zh-CN"/>
        </w:rPr>
        <w:t>5</w:t>
      </w:r>
      <w:r>
        <w:rPr>
          <w:rFonts w:hint="eastAsia"/>
        </w:rPr>
        <w:t>.</w:t>
      </w:r>
      <w:r>
        <w:rPr>
          <w:rFonts w:hint="eastAsia"/>
          <w:lang w:val="en-US" w:eastAsia="zh-CN"/>
        </w:rPr>
        <w:t>6</w:t>
      </w:r>
      <w:r>
        <w:rPr>
          <w:rFonts w:hint="eastAsia"/>
        </w:rPr>
        <w:t xml:space="preserve"> </w:t>
      </w:r>
      <w:r>
        <w:rPr>
          <w:rFonts w:hint="eastAsia"/>
          <w:lang w:val="en-US" w:eastAsia="zh-CN"/>
        </w:rPr>
        <w:t>排口</w:t>
      </w:r>
      <w:r>
        <w:rPr>
          <w:rFonts w:hint="eastAsia"/>
        </w:rPr>
        <w:t>清污分流</w:t>
      </w:r>
    </w:p>
    <w:p w14:paraId="35FCD86E">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5.6.2 对于传统截流设施结构安全性与功能完整性较好，具备改造所需的设备设施安装空间，同时截流功能未完全失效的工况，排口优先进行智能化改造，若智能化改造困难的应新建智能分流井。</w:t>
      </w:r>
    </w:p>
    <w:p w14:paraId="20D92E39">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5.6.3 本条规定了排口清污分流改造原则，通过排口末端设置智能分流井解决分流制雨水排口上游的混错接以及面源污染的问题，同时解决合流制排口的溢流污染以及河水倒灌的问题。</w:t>
      </w:r>
    </w:p>
    <w:p w14:paraId="061F701C">
      <w:pPr>
        <w:pStyle w:val="40"/>
        <w:spacing w:before="156" w:after="156"/>
        <w:outlineLvl w:val="3"/>
        <w:rPr>
          <w:rFonts w:hint="eastAsia" w:eastAsia="黑体"/>
          <w:lang w:val="en-US" w:eastAsia="zh-CN"/>
        </w:rPr>
      </w:pPr>
      <w:r>
        <w:rPr>
          <w:rFonts w:hint="eastAsia"/>
          <w:lang w:val="en-US" w:eastAsia="zh-CN"/>
        </w:rPr>
        <w:t>5</w:t>
      </w:r>
      <w:r>
        <w:rPr>
          <w:rFonts w:hint="eastAsia"/>
        </w:rPr>
        <w:t>.</w:t>
      </w:r>
      <w:r>
        <w:rPr>
          <w:rFonts w:hint="eastAsia"/>
          <w:lang w:val="en-US" w:eastAsia="zh-CN"/>
        </w:rPr>
        <w:t>7</w:t>
      </w:r>
      <w:r>
        <w:rPr>
          <w:rFonts w:hint="eastAsia"/>
        </w:rPr>
        <w:t xml:space="preserve"> 截流调蓄</w:t>
      </w:r>
      <w:r>
        <w:rPr>
          <w:rFonts w:hint="eastAsia"/>
          <w:lang w:val="en-US" w:eastAsia="zh-CN"/>
        </w:rPr>
        <w:t>系统</w:t>
      </w:r>
    </w:p>
    <w:p w14:paraId="06A07E1D">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5.7.1 本条规定了截流调蓄系统的确定原则，截流调蓄系统的主要作用包括收集和贮存初期雨水，减少其对水体的污染，并通过污水管网将其输送至污水处理厂进行处理，最终再排放，从而改善河道水质和周边生态环境‌。截流调蓄系统的结构型式以及规模应根据雨水径流初期效应、水质特性和下游污水系统的处理能力、模型模拟结果等因素综合确定。</w:t>
      </w:r>
    </w:p>
    <w:p w14:paraId="5A51E9A2">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5.7.2 本条规定了截流调蓄系统的设计原则。需结合《城镇雨水控制与利用工程技术规范》（GB 50400）、《城市黑臭水体治理技术指南》等文件综合应用，确保截流调蓄系统在污染控制、防洪安全与生态保护间的协同优化。实施过程中应重点核查智能分流井的截流精度、调蓄设施与污水厂联动的实时性等强制性条款的合规性。</w:t>
      </w:r>
    </w:p>
    <w:p w14:paraId="4ED5E1C0">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5.7.3 本条规定了智能分流井设施的设置原则，根据汇水范围内初雨特征，确定截流控制方式（雨量法、水质法），同时规定了智能分流井应具备截流管限流功能以及就地手动和自动控制的功能。</w:t>
      </w:r>
    </w:p>
    <w:p w14:paraId="2B92AEEC">
      <w:pPr>
        <w:pStyle w:val="41"/>
        <w:ind w:left="0" w:leftChars="0" w:firstLine="0" w:firstLineChars="0"/>
        <w:rPr>
          <w:rFonts w:hint="default" w:hAnsi="宋体" w:eastAsia="宋体" w:cs="宋体"/>
          <w:lang w:val="en-US" w:eastAsia="zh-CN"/>
        </w:rPr>
      </w:pPr>
      <w:r>
        <w:rPr>
          <w:rFonts w:hint="eastAsia" w:hAnsi="宋体" w:eastAsia="宋体" w:cs="宋体"/>
          <w:lang w:val="en-US" w:eastAsia="zh-CN"/>
        </w:rPr>
        <w:t>5.7.4 本条规定了调蓄池设施的设置原则，明确了调蓄池规模以及池体设计满足《城镇雨水调蓄工程技术规范》的规定。通过灰绿设施的科学配置与智能管控，实现“削峰、净水、蓄能、生态”四位一体功能，为城市水环境可持续发展提供核心保障。设计过程中应严控强制条款（如有毒有害气体监测、排空时间）的合规性以及合理性。调蓄设施应具备自动冲洗设施以及清淤措施，减少人工清淤而带来的安全隐患。根据污水处理厂处理负荷及下游污水系统的收纳能力，调蓄池调蓄雨水的处理方式可以分为就地处理设施、集中处理设施以及末端污水处理设施。</w:t>
      </w:r>
    </w:p>
    <w:p w14:paraId="7DFDB75B">
      <w:pPr>
        <w:pStyle w:val="114"/>
        <w:numPr>
          <w:ilvl w:val="1"/>
          <w:numId w:val="0"/>
        </w:numPr>
        <w:spacing w:before="312" w:after="312"/>
        <w:ind w:leftChars="0"/>
        <w:jc w:val="left"/>
        <w:outlineLvl w:val="1"/>
        <w:rPr>
          <w:rFonts w:hAnsi="黑体" w:cs="黑体"/>
          <w:szCs w:val="21"/>
        </w:rPr>
      </w:pPr>
      <w:bookmarkStart w:id="152" w:name="_Toc8266"/>
      <w:r>
        <w:rPr>
          <w:rFonts w:hint="eastAsia" w:hAnsi="黑体" w:cs="黑体"/>
          <w:szCs w:val="21"/>
          <w:lang w:val="en-US" w:eastAsia="zh-CN"/>
        </w:rPr>
        <w:t>6  排水管网数字化工程</w:t>
      </w:r>
      <w:bookmarkEnd w:id="152"/>
    </w:p>
    <w:p w14:paraId="317F6603">
      <w:pPr>
        <w:pStyle w:val="40"/>
        <w:spacing w:before="156" w:after="156"/>
        <w:outlineLvl w:val="3"/>
      </w:pPr>
      <w:r>
        <w:rPr>
          <w:rFonts w:hint="eastAsia"/>
          <w:lang w:val="en-US" w:eastAsia="zh-CN"/>
        </w:rPr>
        <w:t>6</w:t>
      </w:r>
      <w:r>
        <w:rPr>
          <w:rFonts w:hint="eastAsia"/>
        </w:rPr>
        <w:t>.1 一般规定</w:t>
      </w:r>
    </w:p>
    <w:p w14:paraId="3494F0E3">
      <w:pPr>
        <w:pStyle w:val="41"/>
        <w:ind w:left="0" w:leftChars="0" w:firstLine="0" w:firstLineChars="0"/>
        <w:rPr>
          <w:rFonts w:hint="default" w:hAnsi="宋体" w:eastAsia="宋体" w:cs="宋体"/>
          <w:lang w:val="en-US" w:eastAsia="zh-CN"/>
        </w:rPr>
      </w:pPr>
      <w:r>
        <w:rPr>
          <w:rFonts w:hint="eastAsia" w:hAnsi="宋体" w:eastAsia="宋体" w:cs="宋体"/>
          <w:lang w:val="en-US" w:eastAsia="zh-CN"/>
        </w:rPr>
        <w:t>6.1.1 本条规定了建设排水管网数字化需要采集的数据类型。</w:t>
      </w:r>
    </w:p>
    <w:p w14:paraId="1450617C">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6.1.5 本条文规定了排水管网动态感知设备的选型要求。选型应遵循经济性、适用性（与作业场景匹配）及可靠性原则，优先选用模块化、低功耗设计产品。防尘、防水性能需符合GB/T 4208规定的IP68防护等级，适用于管井、泵站等高湿环境；防爆设备应通过防爆认证，确保在可燃气体、污水发酵区域的安全运行；防腐功能需采用316L不锈钢壳体或塑料等耐腐蚀性材质。</w:t>
      </w:r>
    </w:p>
    <w:p w14:paraId="40976622">
      <w:pPr>
        <w:pStyle w:val="40"/>
        <w:spacing w:before="156" w:after="156"/>
        <w:outlineLvl w:val="3"/>
        <w:rPr>
          <w:rFonts w:hint="eastAsia"/>
          <w:lang w:val="en-US" w:eastAsia="zh-CN"/>
        </w:rPr>
      </w:pPr>
      <w:r>
        <w:rPr>
          <w:rFonts w:hint="eastAsia"/>
          <w:lang w:val="en-US" w:eastAsia="zh-CN"/>
        </w:rPr>
        <w:t>6.2 降雨量监测</w:t>
      </w:r>
    </w:p>
    <w:p w14:paraId="2E525477">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6.2.1 降雨量监测应覆盖降雨、降雪、降雹的全时段累计水量。宜优先采用当地气象部门或水利部门已建成的雨量监测数据，数据共享对接应符合《水文监测数据通信规约》SL/T 651—2014的要求。</w:t>
      </w:r>
    </w:p>
    <w:p w14:paraId="51C08CE4">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6.2.3 雨量传感器测量精度应≥0.1mm，量程≥100mm/h，且满足中国气象局QX/T 61—2020《自动气象站技术规范》中对翻斗式雨量计的标定要求。设备需每年进行一次现场校准，校准依据SL 21—2015《降水量观测规范》，校准偏差绝对值应≤5%。</w:t>
      </w:r>
    </w:p>
    <w:p w14:paraId="07F5B068">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6.2.4 雨量监测站点布设密度宜根据区域地形特征及降水时空分布差异化设置：城区或山洪易发区网格宜加密至</w:t>
      </w:r>
      <w:r>
        <w:rPr>
          <w:rFonts w:hint="default" w:hAnsi="宋体" w:eastAsia="宋体" w:cs="宋体"/>
          <w:lang w:val="en-US" w:eastAsia="zh-CN"/>
        </w:rPr>
        <w:t>1km×1km，平原区可放宽至2km×2km，地形高差超过200m的山区需增设站点。监测网络应实现流域内≥95%面积覆盖率</w:t>
      </w:r>
      <w:r>
        <w:rPr>
          <w:rFonts w:hint="eastAsia" w:hAnsi="宋体" w:eastAsia="宋体" w:cs="宋体"/>
          <w:lang w:val="en-US" w:eastAsia="zh-CN"/>
        </w:rPr>
        <w:t>。</w:t>
      </w:r>
    </w:p>
    <w:p w14:paraId="430B3409">
      <w:pPr>
        <w:pStyle w:val="40"/>
        <w:spacing w:before="156" w:after="156"/>
        <w:outlineLvl w:val="3"/>
        <w:rPr>
          <w:rFonts w:hint="eastAsia"/>
          <w:lang w:val="en-US" w:eastAsia="zh-CN"/>
        </w:rPr>
      </w:pPr>
      <w:r>
        <w:rPr>
          <w:rFonts w:hint="eastAsia"/>
          <w:lang w:val="en-US" w:eastAsia="zh-CN"/>
        </w:rPr>
        <w:t>6.3 排水管线运行监测</w:t>
      </w:r>
    </w:p>
    <w:p w14:paraId="37C1E5A5">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6.3.3 排口监测优先覆盖合流制溢流口及市政雨水排放口，其次在管网关键节点布设水量及水质传感器，最后针对重点排水户实施排污监测。</w:t>
      </w:r>
    </w:p>
    <w:p w14:paraId="4A47A653">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6.3.4 布点间距应根据管道功能划分：主干管（管径≥DN1200）按5km间距加密至3km，次干管（DN600-DN1200）按标准执行，支管（DN300-DN600）可延长至8km。特殊管段前后（如穿河管）应强制增设，监测点应优先布设于下游管段。</w:t>
      </w:r>
    </w:p>
    <w:p w14:paraId="71005CE3">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6.3.5 对于合流排口，可能存在溢流污染，需要对此类排口进行监测，对于雨水排口，DN800以下的排口对水体的污染贡献度占比较小，为了节约监测布点成本，宜对≥DN800的雨水排口布设监测点，DN800以下的排口可根据实际情况设置监测点。</w:t>
      </w:r>
    </w:p>
    <w:p w14:paraId="3C67F2BA">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6.3.6 重点排水户监测除了基本的水质水量监测外，还需根据具体的行业增加特征污染物监测，例如：</w:t>
      </w:r>
      <w:r>
        <w:rPr>
          <w:rFonts w:hint="default" w:hAnsi="宋体" w:eastAsia="宋体" w:cs="宋体"/>
          <w:lang w:val="en-US" w:eastAsia="zh-CN"/>
        </w:rPr>
        <w:t>医疗机构：余氯、生物毒性（发光菌法）；食品加工：动植物油（红外光度法）；电镀行业：总铬、六价铬（分光光度法）；化工园区：氰化物（电极法）。特征污染物监测</w:t>
      </w:r>
      <w:r>
        <w:rPr>
          <w:rFonts w:hint="eastAsia" w:hAnsi="宋体" w:eastAsia="宋体" w:cs="宋体"/>
          <w:lang w:val="en-US" w:eastAsia="zh-CN"/>
        </w:rPr>
        <w:t>对超过</w:t>
      </w:r>
      <w:r>
        <w:rPr>
          <w:rFonts w:hint="default" w:hAnsi="宋体" w:eastAsia="宋体" w:cs="宋体"/>
          <w:lang w:val="en-US" w:eastAsia="zh-CN"/>
        </w:rPr>
        <w:t>排放标准限值的30%</w:t>
      </w:r>
      <w:r>
        <w:rPr>
          <w:rFonts w:hint="eastAsia" w:hAnsi="宋体" w:eastAsia="宋体" w:cs="宋体"/>
          <w:lang w:val="en-US" w:eastAsia="zh-CN"/>
        </w:rPr>
        <w:t>进行</w:t>
      </w:r>
      <w:r>
        <w:rPr>
          <w:rFonts w:hint="default" w:hAnsi="宋体" w:eastAsia="宋体" w:cs="宋体"/>
          <w:lang w:val="en-US" w:eastAsia="zh-CN"/>
        </w:rPr>
        <w:t>预警，</w:t>
      </w:r>
      <w:r>
        <w:rPr>
          <w:rFonts w:hint="eastAsia" w:hAnsi="宋体" w:eastAsia="宋体" w:cs="宋体"/>
          <w:lang w:val="en-US" w:eastAsia="zh-CN"/>
        </w:rPr>
        <w:t>预警信息</w:t>
      </w:r>
      <w:r>
        <w:rPr>
          <w:rFonts w:hint="default" w:hAnsi="宋体" w:eastAsia="宋体" w:cs="宋体"/>
          <w:lang w:val="en-US" w:eastAsia="zh-CN"/>
        </w:rPr>
        <w:t>自动推送至生态环境执法平台。</w:t>
      </w:r>
    </w:p>
    <w:p w14:paraId="28C07474">
      <w:pPr>
        <w:pStyle w:val="114"/>
        <w:numPr>
          <w:ilvl w:val="1"/>
          <w:numId w:val="0"/>
        </w:numPr>
        <w:spacing w:before="312" w:after="312"/>
        <w:ind w:leftChars="0"/>
        <w:jc w:val="left"/>
        <w:outlineLvl w:val="1"/>
        <w:rPr>
          <w:rFonts w:hint="eastAsia" w:hAnsi="黑体" w:cs="黑体"/>
          <w:szCs w:val="21"/>
        </w:rPr>
      </w:pPr>
      <w:bookmarkStart w:id="153" w:name="_Toc8142"/>
      <w:r>
        <w:rPr>
          <w:rFonts w:hint="eastAsia" w:hAnsi="黑体" w:cs="黑体"/>
          <w:szCs w:val="21"/>
          <w:lang w:val="en-US" w:eastAsia="zh-CN"/>
        </w:rPr>
        <w:t>7  排水管网智能化工程</w:t>
      </w:r>
      <w:bookmarkEnd w:id="153"/>
    </w:p>
    <w:p w14:paraId="5B370F93">
      <w:pPr>
        <w:pStyle w:val="40"/>
        <w:spacing w:before="156" w:after="156"/>
        <w:outlineLvl w:val="3"/>
        <w:rPr>
          <w:rFonts w:hint="default"/>
          <w:lang w:val="en-US" w:eastAsia="zh-CN"/>
        </w:rPr>
      </w:pPr>
      <w:r>
        <w:rPr>
          <w:rFonts w:hint="eastAsia"/>
          <w:lang w:val="en-US" w:eastAsia="zh-CN"/>
        </w:rPr>
        <w:t>7</w:t>
      </w:r>
      <w:r>
        <w:rPr>
          <w:rFonts w:hint="eastAsia"/>
        </w:rPr>
        <w:t>.</w:t>
      </w:r>
      <w:r>
        <w:rPr>
          <w:rFonts w:hint="eastAsia"/>
          <w:lang w:val="en-US" w:eastAsia="zh-CN"/>
        </w:rPr>
        <w:t>2</w:t>
      </w:r>
      <w:r>
        <w:rPr>
          <w:rFonts w:hint="eastAsia"/>
        </w:rPr>
        <w:t xml:space="preserve"> </w:t>
      </w:r>
      <w:r>
        <w:rPr>
          <w:rFonts w:hint="eastAsia"/>
          <w:lang w:val="en-US" w:eastAsia="zh-CN"/>
        </w:rPr>
        <w:t>水力水质模型应用</w:t>
      </w:r>
    </w:p>
    <w:p w14:paraId="4FE2A017">
      <w:pPr>
        <w:pStyle w:val="41"/>
        <w:ind w:left="0" w:leftChars="0" w:firstLine="0" w:firstLineChars="0"/>
        <w:rPr>
          <w:rFonts w:hint="default" w:hAnsi="宋体" w:eastAsia="宋体" w:cs="宋体"/>
          <w:lang w:val="en-US" w:eastAsia="zh-CN"/>
        </w:rPr>
      </w:pPr>
      <w:r>
        <w:rPr>
          <w:rFonts w:hint="eastAsia" w:hAnsi="宋体" w:eastAsia="宋体" w:cs="宋体"/>
          <w:lang w:val="en-US" w:eastAsia="zh-CN"/>
        </w:rPr>
        <w:t>7.2.2 本条规定了构建排水管网水力模型的主要步骤。第一步:要基于实际的应用需求选择模型;第二步:基于管网拓扑结构对模型进行概化，选择适当的数学表达形式来建立管段、节点等基础结构的模型;第三步:概化后的模型需要进行参数率定和验证;第四步:可以基于通过验证的模型开展相关应用。最后，模型在应用过程中还应该根据管网状态的变化持续进行维护与更新，保证模型的结构、参数等与实际情况相符</w:t>
      </w:r>
      <w:r>
        <w:rPr>
          <w:rFonts w:hint="eastAsia" w:hAnsi="宋体" w:cs="宋体"/>
          <w:lang w:val="en-US" w:eastAsia="zh-CN"/>
        </w:rPr>
        <w:t>。</w:t>
      </w:r>
    </w:p>
    <w:p w14:paraId="7CA8E075">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7.2.5 本条规定模型的更新维护是根据管网拓扑结构和运行工况的变化，对管网模型基础数据和运行参数进行动态更新和精度维护的过程。模型的更新维护主要关注三个方面的问题：一是管网拓扑结构的变化，如管网的改造、新建等工程导致的管道、节点属性变化；二是管网运行工况的变化，如随着管网的运行和老化，管道阻力、淤积等属性发生的变化;三是模型软件的升级更新。日常更新维护主要关注管网拓扑结构的变化和软件的升级在管网拓扑结构发生变化或软件有功能升级时随时开展；定期校核更新维护主要关注模型参数的变化，可定期根据实测数据对模型进行参数率定和验证，确认模型参数能够反映管网的运行工况，保证模拟结果的准确性。一般来说，建议每年开展1到2次定期校核更新维护</w:t>
      </w:r>
      <w:r>
        <w:rPr>
          <w:rFonts w:hint="eastAsia" w:hAnsi="宋体" w:cs="宋体"/>
          <w:lang w:val="en-US" w:eastAsia="zh-CN"/>
        </w:rPr>
        <w:t>。</w:t>
      </w:r>
    </w:p>
    <w:p w14:paraId="120B20AD">
      <w:pPr>
        <w:pStyle w:val="40"/>
        <w:spacing w:before="156" w:after="156"/>
        <w:outlineLvl w:val="3"/>
        <w:rPr>
          <w:rFonts w:hint="default" w:eastAsia="黑体"/>
          <w:lang w:val="en-US" w:eastAsia="zh-CN"/>
        </w:rPr>
      </w:pPr>
      <w:r>
        <w:rPr>
          <w:rFonts w:hint="eastAsia"/>
          <w:lang w:val="en-US" w:eastAsia="zh-CN"/>
        </w:rPr>
        <w:t>7</w:t>
      </w:r>
      <w:r>
        <w:rPr>
          <w:rFonts w:hint="eastAsia"/>
        </w:rPr>
        <w:t>.</w:t>
      </w:r>
      <w:r>
        <w:rPr>
          <w:rFonts w:hint="eastAsia"/>
          <w:lang w:val="en-US" w:eastAsia="zh-CN"/>
        </w:rPr>
        <w:t>3</w:t>
      </w:r>
      <w:r>
        <w:rPr>
          <w:rFonts w:hint="eastAsia"/>
        </w:rPr>
        <w:t xml:space="preserve"> </w:t>
      </w:r>
      <w:r>
        <w:rPr>
          <w:rFonts w:hint="eastAsia"/>
          <w:lang w:val="en-US" w:eastAsia="zh-CN"/>
        </w:rPr>
        <w:t>智能分析</w:t>
      </w:r>
    </w:p>
    <w:p w14:paraId="25E33EC9">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 xml:space="preserve">7.3.4 </w:t>
      </w:r>
      <w:r>
        <w:rPr>
          <w:rFonts w:hint="default" w:hAnsi="宋体" w:eastAsia="宋体" w:cs="宋体"/>
          <w:lang w:val="en-US" w:eastAsia="zh-CN"/>
        </w:rPr>
        <w:t>运维人员可通过智能分析结果快速定位问题，减少人工排查时间</w:t>
      </w:r>
      <w:r>
        <w:rPr>
          <w:rFonts w:hint="eastAsia" w:hAnsi="宋体" w:eastAsia="宋体" w:cs="宋体"/>
          <w:lang w:val="en-US" w:eastAsia="zh-CN"/>
        </w:rPr>
        <w:t>，也可以</w:t>
      </w:r>
      <w:r>
        <w:rPr>
          <w:rFonts w:hint="default" w:hAnsi="宋体" w:eastAsia="宋体" w:cs="宋体"/>
          <w:lang w:val="en-US" w:eastAsia="zh-CN"/>
        </w:rPr>
        <w:t>基于健康度评估结果制定优先级养护计划，提升养护资源利用率</w:t>
      </w:r>
      <w:r>
        <w:rPr>
          <w:rFonts w:hint="eastAsia" w:hAnsi="宋体" w:eastAsia="宋体" w:cs="宋体"/>
          <w:lang w:val="en-US" w:eastAsia="zh-CN"/>
        </w:rPr>
        <w:t>。</w:t>
      </w:r>
    </w:p>
    <w:p w14:paraId="2B8D2294">
      <w:pPr>
        <w:pStyle w:val="40"/>
        <w:spacing w:before="156" w:after="156"/>
        <w:outlineLvl w:val="3"/>
        <w:rPr>
          <w:rFonts w:hint="default"/>
          <w:lang w:val="en-US" w:eastAsia="zh-CN"/>
        </w:rPr>
      </w:pPr>
      <w:r>
        <w:rPr>
          <w:rFonts w:hint="eastAsia"/>
          <w:lang w:val="en-US" w:eastAsia="zh-CN"/>
        </w:rPr>
        <w:t>7</w:t>
      </w:r>
      <w:r>
        <w:rPr>
          <w:rFonts w:hint="eastAsia"/>
        </w:rPr>
        <w:t>.</w:t>
      </w:r>
      <w:r>
        <w:rPr>
          <w:rFonts w:hint="eastAsia"/>
          <w:lang w:val="en-US" w:eastAsia="zh-CN"/>
        </w:rPr>
        <w:t>5</w:t>
      </w:r>
      <w:r>
        <w:rPr>
          <w:rFonts w:hint="eastAsia"/>
        </w:rPr>
        <w:t xml:space="preserve"> </w:t>
      </w:r>
      <w:r>
        <w:rPr>
          <w:rFonts w:hint="eastAsia"/>
          <w:lang w:val="en-US" w:eastAsia="zh-CN"/>
        </w:rPr>
        <w:t>智能调控</w:t>
      </w:r>
    </w:p>
    <w:p w14:paraId="68C1646C">
      <w:pPr>
        <w:pStyle w:val="41"/>
        <w:ind w:left="0" w:leftChars="0" w:firstLine="0" w:firstLineChars="0"/>
        <w:rPr>
          <w:rFonts w:hint="default" w:hAnsi="宋体" w:eastAsia="宋体" w:cs="宋体"/>
          <w:lang w:val="en-US" w:eastAsia="zh-CN"/>
        </w:rPr>
      </w:pPr>
      <w:r>
        <w:rPr>
          <w:rFonts w:hint="eastAsia" w:hAnsi="宋体" w:eastAsia="宋体" w:cs="宋体"/>
          <w:lang w:val="en-US" w:eastAsia="zh-CN"/>
        </w:rPr>
        <w:t>7.5.1 本条规定了</w:t>
      </w:r>
      <w:r>
        <w:rPr>
          <w:rFonts w:hint="default" w:hAnsi="宋体" w:eastAsia="宋体" w:cs="宋体"/>
          <w:lang w:val="en-US" w:eastAsia="zh-CN"/>
        </w:rPr>
        <w:t>排水管网智能调控应基于管网水力水质模型，整合实时监测数据（液位、流量、水质等），通过动态调整智能分流井、泵站等核心设施，实现管网运行优化。模型需具备自学习能力，支持历史数据与实时参数的自动校核，确保调控精度</w:t>
      </w:r>
      <w:r>
        <w:rPr>
          <w:rFonts w:hint="eastAsia" w:hAnsi="宋体" w:eastAsia="宋体" w:cs="宋体"/>
          <w:lang w:val="en-US" w:eastAsia="zh-CN"/>
        </w:rPr>
        <w:t>。</w:t>
      </w:r>
    </w:p>
    <w:p w14:paraId="4297CB13">
      <w:pPr>
        <w:pStyle w:val="114"/>
        <w:numPr>
          <w:ilvl w:val="1"/>
          <w:numId w:val="0"/>
        </w:numPr>
        <w:spacing w:before="312" w:after="312"/>
        <w:ind w:leftChars="0"/>
        <w:jc w:val="left"/>
        <w:outlineLvl w:val="1"/>
        <w:rPr>
          <w:rFonts w:hint="default" w:hAnsi="黑体" w:cs="黑体"/>
          <w:szCs w:val="21"/>
          <w:lang w:val="en-US" w:eastAsia="zh-CN"/>
        </w:rPr>
      </w:pPr>
      <w:bookmarkStart w:id="154" w:name="_Toc11899"/>
      <w:r>
        <w:rPr>
          <w:rFonts w:hint="eastAsia" w:hAnsi="黑体" w:cs="黑体"/>
          <w:szCs w:val="21"/>
          <w:lang w:val="en-US" w:eastAsia="zh-CN"/>
        </w:rPr>
        <w:t>8  智慧排水系统</w:t>
      </w:r>
      <w:bookmarkEnd w:id="154"/>
    </w:p>
    <w:p w14:paraId="35F13A3B">
      <w:pPr>
        <w:pStyle w:val="40"/>
        <w:spacing w:before="156" w:after="156"/>
        <w:outlineLvl w:val="3"/>
        <w:rPr>
          <w:rFonts w:hint="eastAsia" w:hAnsi="宋体" w:eastAsia="宋体" w:cs="宋体"/>
          <w:lang w:val="en-US" w:eastAsia="zh-CN"/>
        </w:rPr>
      </w:pPr>
      <w:r>
        <w:rPr>
          <w:rFonts w:hint="eastAsia"/>
          <w:lang w:val="en-US" w:eastAsia="zh-CN"/>
        </w:rPr>
        <w:t>8.3 排水资产管理系统</w:t>
      </w:r>
    </w:p>
    <w:p w14:paraId="1A78630F">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 xml:space="preserve">8.3.2 </w:t>
      </w:r>
      <w:r>
        <w:rPr>
          <w:rFonts w:hint="default" w:hAnsi="宋体" w:eastAsia="宋体" w:cs="宋体"/>
          <w:lang w:val="en-US" w:eastAsia="zh-CN"/>
        </w:rPr>
        <w:t>本条规定了排水设施资产管理系统应</w:t>
      </w:r>
      <w:r>
        <w:rPr>
          <w:rFonts w:hint="eastAsia" w:hAnsi="宋体" w:eastAsia="宋体" w:cs="宋体"/>
          <w:lang w:val="en-US" w:eastAsia="zh-CN"/>
        </w:rPr>
        <w:t>能</w:t>
      </w:r>
      <w:r>
        <w:rPr>
          <w:rFonts w:hint="default" w:hAnsi="宋体" w:eastAsia="宋体" w:cs="宋体"/>
          <w:lang w:val="en-US" w:eastAsia="zh-CN"/>
        </w:rPr>
        <w:t>实现资产的静态信息和日常状态的动态更新，提高资产管理的实时性和准确性。</w:t>
      </w:r>
    </w:p>
    <w:p w14:paraId="576E9EEF">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 xml:space="preserve">8.3.4 </w:t>
      </w:r>
      <w:r>
        <w:rPr>
          <w:rFonts w:hint="default" w:hAnsi="宋体" w:eastAsia="宋体" w:cs="宋体"/>
          <w:lang w:val="en-US" w:eastAsia="zh-CN"/>
        </w:rPr>
        <w:t>本条规定了排水设施资产管理系统应具备对管</w:t>
      </w:r>
      <w:r>
        <w:rPr>
          <w:rFonts w:hint="eastAsia" w:hAnsi="宋体" w:eastAsia="宋体" w:cs="宋体"/>
          <w:lang w:val="en-US" w:eastAsia="zh-CN"/>
        </w:rPr>
        <w:t>网</w:t>
      </w:r>
      <w:r>
        <w:rPr>
          <w:rFonts w:hint="default" w:hAnsi="宋体" w:eastAsia="宋体" w:cs="宋体"/>
          <w:lang w:val="en-US" w:eastAsia="zh-CN"/>
        </w:rPr>
        <w:t>CCTV 信息、管网健康报告等信息的管理集成功能，可以实现管线设施视频信息的空间定位、播放和健康报告查询等，为资产管理提供更加全面和准确的信息支持</w:t>
      </w:r>
      <w:r>
        <w:rPr>
          <w:rFonts w:hint="eastAsia" w:hAnsi="宋体" w:eastAsia="宋体" w:cs="宋体"/>
          <w:lang w:val="en-US" w:eastAsia="zh-CN"/>
        </w:rPr>
        <w:t>。</w:t>
      </w:r>
    </w:p>
    <w:p w14:paraId="723F007C">
      <w:pPr>
        <w:pStyle w:val="40"/>
        <w:spacing w:before="156" w:after="156"/>
        <w:outlineLvl w:val="3"/>
        <w:rPr>
          <w:rFonts w:hint="eastAsia" w:hAnsi="宋体" w:cs="宋体"/>
          <w:lang w:val="en-US" w:eastAsia="zh-CN"/>
        </w:rPr>
      </w:pPr>
      <w:r>
        <w:rPr>
          <w:rFonts w:hint="eastAsia"/>
          <w:lang w:val="en-US" w:eastAsia="zh-CN"/>
        </w:rPr>
        <w:t>8.4 设施集中监控系统</w:t>
      </w:r>
    </w:p>
    <w:p w14:paraId="4265090F">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8.4.1 本条规定了</w:t>
      </w:r>
      <w:r>
        <w:rPr>
          <w:rFonts w:hint="default" w:hAnsi="宋体" w:eastAsia="宋体" w:cs="宋体"/>
          <w:lang w:val="en-US" w:eastAsia="zh-CN"/>
        </w:rPr>
        <w:t>设施集中监控系统需整合排水设施的监测信息（如液位、流量）、运行状态（如泵站启停）及处理信息（如水质参数），通过统一平台实现数据汇聚、标准化存储与多维度展示。系统应支持多源数据（传感器、SCADA、GIS）的融合分析，并基于动态仪表盘、地图图层叠加等方式提供实时可视化监控</w:t>
      </w:r>
      <w:r>
        <w:rPr>
          <w:rFonts w:hint="eastAsia" w:hAnsi="宋体" w:eastAsia="宋体" w:cs="宋体"/>
          <w:lang w:val="en-US" w:eastAsia="zh-CN"/>
        </w:rPr>
        <w:t>。</w:t>
      </w:r>
    </w:p>
    <w:p w14:paraId="031570AF">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8.4.2 本条规定了</w:t>
      </w:r>
      <w:r>
        <w:rPr>
          <w:rFonts w:hint="default" w:hAnsi="宋体" w:eastAsia="宋体" w:cs="宋体"/>
          <w:lang w:val="en-US" w:eastAsia="zh-CN"/>
        </w:rPr>
        <w:t>通过组态界面动态映射生产工艺流程，实时接入</w:t>
      </w:r>
      <w:r>
        <w:rPr>
          <w:rFonts w:hint="eastAsia" w:hAnsi="宋体" w:eastAsia="宋体" w:cs="宋体"/>
          <w:lang w:val="en-US" w:eastAsia="zh-CN"/>
        </w:rPr>
        <w:t>水位</w:t>
      </w:r>
      <w:r>
        <w:rPr>
          <w:rFonts w:hint="default" w:hAnsi="宋体" w:eastAsia="宋体" w:cs="宋体"/>
          <w:lang w:val="en-US" w:eastAsia="zh-CN"/>
        </w:rPr>
        <w:t>、流量、水质等数据，支持工艺参数阈值设定与异常高亮。例如，结合管网数学模型模拟水力状态，优化泵阀联动调节策略，降低能耗与运行风险。</w:t>
      </w:r>
    </w:p>
    <w:p w14:paraId="29550E80">
      <w:pPr>
        <w:pStyle w:val="40"/>
        <w:spacing w:before="156" w:after="156"/>
        <w:outlineLvl w:val="3"/>
        <w:rPr>
          <w:rFonts w:hint="eastAsia"/>
          <w:lang w:val="en-US" w:eastAsia="zh-CN"/>
        </w:rPr>
      </w:pPr>
      <w:r>
        <w:rPr>
          <w:rFonts w:hint="eastAsia"/>
          <w:lang w:val="en-US" w:eastAsia="zh-CN"/>
        </w:rPr>
        <w:t>8.5 智慧运维系统</w:t>
      </w:r>
    </w:p>
    <w:p w14:paraId="773FE3A2">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 xml:space="preserve">8.5.5 </w:t>
      </w:r>
      <w:r>
        <w:rPr>
          <w:rFonts w:hint="default" w:hAnsi="宋体" w:eastAsia="宋体" w:cs="宋体"/>
          <w:lang w:val="en-US" w:eastAsia="zh-CN"/>
        </w:rPr>
        <w:t>本条规定了排水管网</w:t>
      </w:r>
      <w:r>
        <w:rPr>
          <w:rFonts w:hint="eastAsia" w:hAnsi="宋体" w:eastAsia="宋体" w:cs="宋体"/>
          <w:lang w:val="en-US" w:eastAsia="zh-CN"/>
        </w:rPr>
        <w:t>智慧运维系统</w:t>
      </w:r>
      <w:r>
        <w:rPr>
          <w:rFonts w:hint="default" w:hAnsi="宋体" w:eastAsia="宋体" w:cs="宋体"/>
          <w:lang w:val="en-US" w:eastAsia="zh-CN"/>
        </w:rPr>
        <w:t>应内置分析模型，统计关键指标（如任务完成率、响应时长、故障频次），生成可视化报表（柱状图、热力图）。评价结果可关联KPI考核，并为运维资源调配提供决策依据。</w:t>
      </w:r>
    </w:p>
    <w:p w14:paraId="2CDB33F7">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 xml:space="preserve">8.5.6 </w:t>
      </w:r>
      <w:r>
        <w:rPr>
          <w:rFonts w:hint="default" w:hAnsi="宋体" w:eastAsia="宋体" w:cs="宋体"/>
          <w:lang w:val="en-US" w:eastAsia="zh-CN"/>
        </w:rPr>
        <w:t>Web端与移动端需通过统一数据接口实现实时交互，确保任务状态、报警信息、地图数据双向同步。采用HTTPS协议加密传输，支持离线模式下的数据缓存与自动补传。</w:t>
      </w:r>
    </w:p>
    <w:p w14:paraId="31E89954">
      <w:pPr>
        <w:pStyle w:val="40"/>
        <w:spacing w:before="156" w:after="156"/>
        <w:outlineLvl w:val="3"/>
        <w:rPr>
          <w:rFonts w:hint="eastAsia"/>
          <w:lang w:val="en-US" w:eastAsia="zh-CN"/>
        </w:rPr>
      </w:pPr>
      <w:r>
        <w:rPr>
          <w:rFonts w:hint="eastAsia"/>
          <w:lang w:val="en-US" w:eastAsia="zh-CN"/>
        </w:rPr>
        <w:t>8.6 应急排涝调度系统</w:t>
      </w:r>
    </w:p>
    <w:p w14:paraId="5728EB0F">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 xml:space="preserve">8.6.1 </w:t>
      </w:r>
      <w:r>
        <w:rPr>
          <w:rFonts w:hint="default" w:hAnsi="宋体" w:eastAsia="宋体" w:cs="宋体"/>
          <w:lang w:val="en-US" w:eastAsia="zh-CN"/>
        </w:rPr>
        <w:t>本条规定了</w:t>
      </w:r>
      <w:r>
        <w:rPr>
          <w:rFonts w:hint="eastAsia" w:hAnsi="宋体" w:eastAsia="宋体" w:cs="宋体"/>
          <w:lang w:val="en-US" w:eastAsia="zh-CN"/>
        </w:rPr>
        <w:t>应急排涝调度</w:t>
      </w:r>
      <w:r>
        <w:rPr>
          <w:rFonts w:hint="default" w:hAnsi="宋体" w:eastAsia="宋体" w:cs="宋体"/>
          <w:lang w:val="en-US" w:eastAsia="zh-CN"/>
        </w:rPr>
        <w:t>系统需通过物联网终端（如水位计、流量计、视频监控）实时采集道路积水点、管网、河道等设施的运行数据（水位、流量、水质），并与气象预报数据融合分析。当监测值超过预设阈值时，自动触发三级预警机制：一级（弹窗提示）、二级（短信通知责任人）、三级（移动端推送至应急指挥组</w:t>
      </w:r>
      <w:r>
        <w:rPr>
          <w:rFonts w:hint="eastAsia" w:hAnsi="宋体" w:eastAsia="宋体" w:cs="宋体"/>
          <w:lang w:val="en-US" w:eastAsia="zh-CN"/>
        </w:rPr>
        <w:t>）。</w:t>
      </w:r>
    </w:p>
    <w:p w14:paraId="5A016436">
      <w:pPr>
        <w:pStyle w:val="41"/>
        <w:ind w:left="0" w:leftChars="0" w:firstLine="0" w:firstLineChars="0"/>
        <w:rPr>
          <w:rFonts w:hint="default" w:hAnsi="宋体" w:eastAsia="宋体" w:cs="宋体"/>
          <w:lang w:val="en-US" w:eastAsia="zh-CN"/>
        </w:rPr>
      </w:pPr>
      <w:r>
        <w:rPr>
          <w:rFonts w:hint="eastAsia" w:hAnsi="宋体" w:eastAsia="宋体" w:cs="宋体"/>
          <w:lang w:val="en-US" w:eastAsia="zh-CN"/>
        </w:rPr>
        <w:t xml:space="preserve">8.6.2 </w:t>
      </w:r>
      <w:r>
        <w:rPr>
          <w:rFonts w:hint="default" w:hAnsi="宋体" w:eastAsia="宋体" w:cs="宋体"/>
          <w:lang w:val="en-US" w:eastAsia="zh-CN"/>
        </w:rPr>
        <w:t>本条规定了</w:t>
      </w:r>
      <w:r>
        <w:rPr>
          <w:rFonts w:hint="eastAsia" w:hAnsi="宋体" w:eastAsia="宋体" w:cs="宋体"/>
          <w:lang w:val="en-US" w:eastAsia="zh-CN"/>
        </w:rPr>
        <w:t>应急排涝调度</w:t>
      </w:r>
      <w:r>
        <w:rPr>
          <w:rFonts w:hint="default" w:hAnsi="宋体" w:eastAsia="宋体" w:cs="宋体"/>
          <w:lang w:val="en-US" w:eastAsia="zh-CN"/>
        </w:rPr>
        <w:t>系统</w:t>
      </w:r>
      <w:r>
        <w:rPr>
          <w:rFonts w:hint="eastAsia" w:hAnsi="宋体" w:eastAsia="宋体" w:cs="宋体"/>
          <w:lang w:val="en-US" w:eastAsia="zh-CN"/>
        </w:rPr>
        <w:t>应</w:t>
      </w:r>
      <w:r>
        <w:rPr>
          <w:rFonts w:hint="default" w:hAnsi="宋体" w:eastAsia="宋体" w:cs="宋体"/>
          <w:lang w:val="en-US" w:eastAsia="zh-CN"/>
        </w:rPr>
        <w:t>基于GIS平台叠加管网拓扑、实时监测数据（如易涝点水位、泵站状态）、气象云图及应急资源（抢险车辆、物资仓库）位置信息，生成动态热力图与风险分布图。</w:t>
      </w:r>
    </w:p>
    <w:p w14:paraId="4AB4420D">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 xml:space="preserve">8.6.3 </w:t>
      </w:r>
      <w:r>
        <w:rPr>
          <w:rFonts w:hint="default" w:hAnsi="宋体" w:eastAsia="宋体" w:cs="宋体"/>
          <w:lang w:val="en-US" w:eastAsia="zh-CN"/>
        </w:rPr>
        <w:t>本条规定了</w:t>
      </w:r>
      <w:r>
        <w:rPr>
          <w:rFonts w:hint="eastAsia" w:hAnsi="宋体" w:eastAsia="宋体" w:cs="宋体"/>
          <w:lang w:val="en-US" w:eastAsia="zh-CN"/>
        </w:rPr>
        <w:t>应急排涝调度</w:t>
      </w:r>
      <w:r>
        <w:rPr>
          <w:rFonts w:hint="default" w:hAnsi="宋体" w:eastAsia="宋体" w:cs="宋体"/>
          <w:lang w:val="en-US" w:eastAsia="zh-CN"/>
        </w:rPr>
        <w:t>系统</w:t>
      </w:r>
      <w:r>
        <w:rPr>
          <w:rFonts w:hint="eastAsia" w:hAnsi="宋体" w:eastAsia="宋体" w:cs="宋体"/>
          <w:lang w:val="en-US" w:eastAsia="zh-CN"/>
        </w:rPr>
        <w:t>应</w:t>
      </w:r>
      <w:r>
        <w:rPr>
          <w:rFonts w:hint="default" w:hAnsi="宋体" w:eastAsia="宋体" w:cs="宋体"/>
          <w:lang w:val="en-US" w:eastAsia="zh-CN"/>
        </w:rPr>
        <w:t>内置预案库（如暴雨红色预警响应流程、泵站超负荷处置方案），支持一键启动预案并自动分派任务至抢险队伍。实时跟踪处置进展（如积水消退进度、设备到场时间），动态调配抽水泵、</w:t>
      </w:r>
      <w:r>
        <w:rPr>
          <w:rFonts w:hint="eastAsia" w:hAnsi="宋体" w:eastAsia="宋体" w:cs="宋体"/>
          <w:lang w:val="en-US" w:eastAsia="zh-CN"/>
        </w:rPr>
        <w:t>控制水闸、</w:t>
      </w:r>
      <w:r>
        <w:rPr>
          <w:rFonts w:hint="default" w:hAnsi="宋体" w:eastAsia="宋体" w:cs="宋体"/>
          <w:lang w:val="en-US" w:eastAsia="zh-CN"/>
        </w:rPr>
        <w:t>临时围堰等资源，并通过地图标记任务执行位置</w:t>
      </w:r>
      <w:r>
        <w:rPr>
          <w:rFonts w:hint="eastAsia" w:hAnsi="宋体" w:eastAsia="宋体" w:cs="宋体"/>
          <w:lang w:val="en-US" w:eastAsia="zh-CN"/>
        </w:rPr>
        <w:t>。</w:t>
      </w:r>
    </w:p>
    <w:p w14:paraId="12AC3905">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 xml:space="preserve">8.6.4 </w:t>
      </w:r>
      <w:r>
        <w:rPr>
          <w:rFonts w:hint="default" w:hAnsi="宋体" w:eastAsia="宋体" w:cs="宋体"/>
          <w:lang w:val="en-US" w:eastAsia="zh-CN"/>
        </w:rPr>
        <w:t>本条规定了</w:t>
      </w:r>
      <w:r>
        <w:rPr>
          <w:rFonts w:hint="eastAsia" w:hAnsi="宋体" w:eastAsia="宋体" w:cs="宋体"/>
          <w:lang w:val="en-US" w:eastAsia="zh-CN"/>
        </w:rPr>
        <w:t>应急排涝调度</w:t>
      </w:r>
      <w:r>
        <w:rPr>
          <w:rFonts w:hint="default" w:hAnsi="宋体" w:eastAsia="宋体" w:cs="宋体"/>
          <w:lang w:val="en-US" w:eastAsia="zh-CN"/>
        </w:rPr>
        <w:t>系统</w:t>
      </w:r>
      <w:r>
        <w:rPr>
          <w:rFonts w:hint="eastAsia" w:hAnsi="宋体" w:eastAsia="宋体" w:cs="宋体"/>
          <w:lang w:val="en-US" w:eastAsia="zh-CN"/>
        </w:rPr>
        <w:t>在</w:t>
      </w:r>
      <w:r>
        <w:rPr>
          <w:rFonts w:hint="default" w:hAnsi="宋体" w:eastAsia="宋体" w:cs="宋体"/>
          <w:lang w:val="en-US" w:eastAsia="zh-CN"/>
        </w:rPr>
        <w:t>应急处置结束后，系统</w:t>
      </w:r>
      <w:r>
        <w:rPr>
          <w:rFonts w:hint="eastAsia" w:hAnsi="宋体" w:eastAsia="宋体" w:cs="宋体"/>
          <w:lang w:val="en-US" w:eastAsia="zh-CN"/>
        </w:rPr>
        <w:t>能</w:t>
      </w:r>
      <w:r>
        <w:rPr>
          <w:rFonts w:hint="default" w:hAnsi="宋体" w:eastAsia="宋体" w:cs="宋体"/>
          <w:lang w:val="en-US" w:eastAsia="zh-CN"/>
        </w:rPr>
        <w:t>自动生成评估报告（如响应时效、资源利用率、损失统计），对比预案预期效果与实际结果。基于历史案例数据，通过机器学习优化预警阈值设定及预案启动条件，提升处置效率</w:t>
      </w:r>
      <w:r>
        <w:rPr>
          <w:rFonts w:hint="eastAsia" w:hAnsi="宋体" w:eastAsia="宋体" w:cs="宋体"/>
          <w:lang w:val="en-US" w:eastAsia="zh-CN"/>
        </w:rPr>
        <w:t>。</w:t>
      </w:r>
    </w:p>
    <w:p w14:paraId="70F3647A">
      <w:pPr>
        <w:pStyle w:val="40"/>
        <w:spacing w:before="156" w:after="156"/>
        <w:outlineLvl w:val="3"/>
        <w:rPr>
          <w:rFonts w:hint="eastAsia"/>
          <w:lang w:val="en-US" w:eastAsia="zh-CN"/>
        </w:rPr>
      </w:pPr>
      <w:r>
        <w:rPr>
          <w:rFonts w:hint="eastAsia"/>
          <w:lang w:val="en-US" w:eastAsia="zh-CN"/>
        </w:rPr>
        <w:t>8.7 清污分流调度系统</w:t>
      </w:r>
    </w:p>
    <w:p w14:paraId="5D24A351">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8.7.1 本条规定了清污分流调度</w:t>
      </w:r>
      <w:r>
        <w:rPr>
          <w:rFonts w:hint="default" w:hAnsi="宋体" w:eastAsia="宋体" w:cs="宋体"/>
          <w:lang w:val="en-US" w:eastAsia="zh-CN"/>
        </w:rPr>
        <w:t>系统需基于</w:t>
      </w:r>
      <w:r>
        <w:rPr>
          <w:rFonts w:hint="eastAsia" w:hAnsi="宋体" w:eastAsia="宋体" w:cs="宋体"/>
          <w:lang w:val="en-US" w:eastAsia="zh-CN"/>
        </w:rPr>
        <w:t>排水系统清污分流思想，对</w:t>
      </w:r>
      <w:r>
        <w:rPr>
          <w:rFonts w:hint="default" w:hAnsi="宋体" w:eastAsia="宋体" w:cs="宋体"/>
          <w:lang w:val="en-US" w:eastAsia="zh-CN"/>
        </w:rPr>
        <w:t>流域内智能分流井、调蓄池及污水泵站</w:t>
      </w:r>
      <w:r>
        <w:rPr>
          <w:rFonts w:hint="eastAsia" w:hAnsi="宋体" w:eastAsia="宋体" w:cs="宋体"/>
          <w:lang w:val="en-US" w:eastAsia="zh-CN"/>
        </w:rPr>
        <w:t>进行联合调度。</w:t>
      </w:r>
    </w:p>
    <w:p w14:paraId="07D519F7">
      <w:pPr>
        <w:pStyle w:val="41"/>
        <w:numPr>
          <w:ilvl w:val="0"/>
          <w:numId w:val="75"/>
        </w:numPr>
        <w:tabs>
          <w:tab w:val="center" w:pos="4201"/>
          <w:tab w:val="right" w:leader="dot" w:pos="9298"/>
        </w:tabs>
        <w:ind w:left="726" w:leftChars="0" w:hanging="306"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污水截流：通过智能分流井闸门控制，将初期雨水、生活污水和工业废水截流至污水管网，输送至污水处理厂集中处理；</w:t>
      </w:r>
    </w:p>
    <w:p w14:paraId="695BE434">
      <w:pPr>
        <w:pStyle w:val="41"/>
        <w:numPr>
          <w:ilvl w:val="0"/>
          <w:numId w:val="75"/>
        </w:numPr>
        <w:tabs>
          <w:tab w:val="center" w:pos="4201"/>
          <w:tab w:val="right" w:leader="dot" w:pos="9298"/>
        </w:tabs>
        <w:ind w:left="726" w:leftChars="0" w:hanging="306"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清水排放：中后期雨水经水质监测达标后，通过分流井切换至自然水体排放通道，减少污水处理厂负荷及溢流污染。</w:t>
      </w:r>
    </w:p>
    <w:p w14:paraId="25211B3B">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8.7.2 本条规定了清污分流调度</w:t>
      </w:r>
      <w:r>
        <w:rPr>
          <w:rFonts w:hint="default" w:hAnsi="宋体" w:eastAsia="宋体" w:cs="宋体"/>
          <w:lang w:val="en-US" w:eastAsia="zh-CN"/>
        </w:rPr>
        <w:t>系统需集成管网水动力模型与水质扩散模型，模拟不同降雨强度下的管网输移能力、污染物扩散路径及调蓄池溢流风险，动态优化分流井开度、泵站启停频率等参数，确保截流效率最大化</w:t>
      </w:r>
      <w:r>
        <w:rPr>
          <w:rFonts w:hint="eastAsia" w:hAnsi="宋体" w:eastAsia="宋体" w:cs="宋体"/>
          <w:lang w:val="en-US" w:eastAsia="zh-CN"/>
        </w:rPr>
        <w:t>。</w:t>
      </w:r>
    </w:p>
    <w:p w14:paraId="042099FF">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8.7.3 本条规定了清污分流调度</w:t>
      </w:r>
      <w:r>
        <w:rPr>
          <w:rFonts w:hint="default" w:hAnsi="宋体" w:eastAsia="宋体" w:cs="宋体"/>
          <w:lang w:val="en-US" w:eastAsia="zh-CN"/>
        </w:rPr>
        <w:t>系统基于GIS平台融合气象预报、实时监测（管网水位、调蓄池容量）、设施运行参数（泵站功率、闸门状态），生成管网负荷热力图（红/黄/绿三色预警）、溢流风险点分布图（概率等级标注），支持叠加分析降雨强度与污染扩散趋势</w:t>
      </w:r>
      <w:r>
        <w:rPr>
          <w:rFonts w:hint="eastAsia" w:hAnsi="宋体" w:eastAsia="宋体" w:cs="宋体"/>
          <w:lang w:val="en-US" w:eastAsia="zh-CN"/>
        </w:rPr>
        <w:t>。</w:t>
      </w:r>
    </w:p>
    <w:p w14:paraId="2536D4F9">
      <w:pPr>
        <w:pStyle w:val="114"/>
        <w:numPr>
          <w:ilvl w:val="1"/>
          <w:numId w:val="0"/>
        </w:numPr>
        <w:spacing w:before="312" w:after="312"/>
        <w:ind w:leftChars="0"/>
        <w:jc w:val="left"/>
        <w:outlineLvl w:val="1"/>
        <w:rPr>
          <w:rFonts w:hint="eastAsia" w:hAnsi="黑体" w:cs="黑体"/>
          <w:szCs w:val="21"/>
          <w:lang w:val="en-US" w:eastAsia="zh-CN"/>
        </w:rPr>
      </w:pPr>
      <w:bookmarkStart w:id="155" w:name="_Toc374"/>
      <w:r>
        <w:rPr>
          <w:rFonts w:hint="eastAsia" w:hAnsi="黑体" w:cs="黑体"/>
          <w:szCs w:val="21"/>
          <w:lang w:val="en-US" w:eastAsia="zh-CN"/>
        </w:rPr>
        <w:t>9  运维管理</w:t>
      </w:r>
      <w:bookmarkEnd w:id="155"/>
    </w:p>
    <w:p w14:paraId="430F8D26">
      <w:pPr>
        <w:pStyle w:val="40"/>
        <w:spacing w:before="156" w:after="156"/>
        <w:outlineLvl w:val="3"/>
      </w:pPr>
      <w:r>
        <w:rPr>
          <w:rFonts w:hint="eastAsia"/>
          <w:lang w:val="en-US" w:eastAsia="zh-CN"/>
        </w:rPr>
        <w:t>9</w:t>
      </w:r>
      <w:r>
        <w:rPr>
          <w:rFonts w:hint="eastAsia"/>
        </w:rPr>
        <w:t>.2 管</w:t>
      </w:r>
      <w:r>
        <w:rPr>
          <w:rFonts w:hint="eastAsia"/>
          <w:lang w:val="en-US" w:eastAsia="zh-CN"/>
        </w:rPr>
        <w:t>渠</w:t>
      </w:r>
      <w:r>
        <w:rPr>
          <w:rFonts w:hint="eastAsia"/>
        </w:rPr>
        <w:t>运维</w:t>
      </w:r>
    </w:p>
    <w:p w14:paraId="108D94B8">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 xml:space="preserve">9.2.4 </w:t>
      </w:r>
      <w:r>
        <w:rPr>
          <w:rFonts w:hint="default" w:hAnsi="宋体" w:eastAsia="宋体" w:cs="宋体"/>
          <w:lang w:val="en-US" w:eastAsia="zh-CN"/>
        </w:rPr>
        <w:t>对于智慧排水系统判定存在问题的管道，应利用CCTV电视检测、声纳检测、潜望镜检测等检测工具对其进行详细调查和验证，明确病灶的类型（如破裂、脱节、渗漏）和具体位置，并根据风险评估结果制作详细的整改方案。整改方案应包括：修复技术选择（如非开挖修复：紫外光固化、点状原位固化）</w:t>
      </w:r>
      <w:r>
        <w:rPr>
          <w:rFonts w:hint="eastAsia" w:hAnsi="宋体" w:eastAsia="宋体" w:cs="宋体"/>
          <w:lang w:val="en-US" w:eastAsia="zh-CN"/>
        </w:rPr>
        <w:t>、</w:t>
      </w:r>
      <w:r>
        <w:rPr>
          <w:rFonts w:hint="default" w:hAnsi="宋体" w:eastAsia="宋体" w:cs="宋体"/>
          <w:lang w:val="en-US" w:eastAsia="zh-CN"/>
        </w:rPr>
        <w:t>修复时间表与预算</w:t>
      </w:r>
      <w:r>
        <w:rPr>
          <w:rFonts w:hint="eastAsia" w:hAnsi="宋体" w:eastAsia="宋体" w:cs="宋体"/>
          <w:lang w:val="en-US" w:eastAsia="zh-CN"/>
        </w:rPr>
        <w:t>和</w:t>
      </w:r>
      <w:r>
        <w:rPr>
          <w:rFonts w:hint="default" w:hAnsi="宋体" w:eastAsia="宋体" w:cs="宋体"/>
          <w:lang w:val="en-US" w:eastAsia="zh-CN"/>
        </w:rPr>
        <w:t>应急预案与实施保障</w:t>
      </w:r>
      <w:r>
        <w:rPr>
          <w:rFonts w:hint="eastAsia" w:hAnsi="宋体" w:eastAsia="宋体" w:cs="宋体"/>
          <w:lang w:val="en-US" w:eastAsia="zh-CN"/>
        </w:rPr>
        <w:t>等</w:t>
      </w:r>
      <w:r>
        <w:rPr>
          <w:rFonts w:hint="eastAsia" w:hAnsi="宋体" w:cs="宋体"/>
          <w:lang w:val="en-US" w:eastAsia="zh-CN"/>
        </w:rPr>
        <w:t>。</w:t>
      </w:r>
    </w:p>
    <w:p w14:paraId="34E86140">
      <w:pPr>
        <w:pStyle w:val="40"/>
        <w:spacing w:before="156" w:after="156"/>
        <w:outlineLvl w:val="3"/>
      </w:pPr>
      <w:r>
        <w:rPr>
          <w:rFonts w:hint="eastAsia"/>
          <w:lang w:val="en-US" w:eastAsia="zh-CN"/>
        </w:rPr>
        <w:t>9</w:t>
      </w:r>
      <w:r>
        <w:rPr>
          <w:rFonts w:hint="eastAsia"/>
        </w:rPr>
        <w:t>.</w:t>
      </w:r>
      <w:r>
        <w:rPr>
          <w:rFonts w:hint="eastAsia"/>
          <w:lang w:val="en-US" w:eastAsia="zh-CN"/>
        </w:rPr>
        <w:t>4</w:t>
      </w:r>
      <w:r>
        <w:rPr>
          <w:rFonts w:hint="eastAsia"/>
        </w:rPr>
        <w:t xml:space="preserve"> </w:t>
      </w:r>
      <w:r>
        <w:rPr>
          <w:rFonts w:hint="eastAsia"/>
          <w:lang w:val="en-US" w:eastAsia="zh-CN"/>
        </w:rPr>
        <w:t>监测设备</w:t>
      </w:r>
      <w:r>
        <w:rPr>
          <w:rFonts w:hint="eastAsia"/>
        </w:rPr>
        <w:t>运维</w:t>
      </w:r>
    </w:p>
    <w:p w14:paraId="68A25749">
      <w:pPr>
        <w:pStyle w:val="41"/>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9.4.3 本条规定了监测设备应</w:t>
      </w:r>
      <w:r>
        <w:rPr>
          <w:rFonts w:hint="default" w:ascii="宋体" w:hAnsi="宋体" w:eastAsia="宋体" w:cs="宋体"/>
          <w:lang w:val="en-US" w:eastAsia="zh-CN"/>
        </w:rPr>
        <w:t>每</w:t>
      </w:r>
      <w:r>
        <w:rPr>
          <w:rFonts w:hint="eastAsia" w:ascii="宋体" w:hAnsi="宋体" w:eastAsia="宋体" w:cs="宋体"/>
          <w:lang w:val="en-US" w:eastAsia="zh-CN"/>
        </w:rPr>
        <w:t>两</w:t>
      </w:r>
      <w:r>
        <w:rPr>
          <w:rFonts w:hint="default" w:ascii="宋体" w:hAnsi="宋体" w:eastAsia="宋体" w:cs="宋体"/>
          <w:lang w:val="en-US" w:eastAsia="zh-CN"/>
        </w:rPr>
        <w:t>周至少一次现场巡检，检查设备固定支架、传感器探头污染情况（如泥垢附着）、</w:t>
      </w:r>
      <w:r>
        <w:rPr>
          <w:rFonts w:hint="eastAsia" w:ascii="宋体" w:hAnsi="宋体" w:eastAsia="宋体" w:cs="宋体"/>
          <w:lang w:val="en-US" w:eastAsia="zh-CN"/>
        </w:rPr>
        <w:t>通讯情况、</w:t>
      </w:r>
      <w:r>
        <w:rPr>
          <w:rFonts w:hint="default" w:ascii="宋体" w:hAnsi="宋体" w:eastAsia="宋体" w:cs="宋体"/>
          <w:lang w:val="en-US" w:eastAsia="zh-CN"/>
        </w:rPr>
        <w:t>电池电量（太阳能供电设备需检查光伏板清洁度）</w:t>
      </w:r>
      <w:r>
        <w:rPr>
          <w:rFonts w:hint="eastAsia" w:ascii="宋体" w:hAnsi="宋体" w:eastAsia="宋体" w:cs="宋体"/>
          <w:lang w:val="en-US" w:eastAsia="zh-CN"/>
        </w:rPr>
        <w:t>。</w:t>
      </w:r>
    </w:p>
    <w:p w14:paraId="60DA186F">
      <w:pPr>
        <w:pStyle w:val="41"/>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9.4.4 </w:t>
      </w:r>
      <w:r>
        <w:rPr>
          <w:rFonts w:hint="default" w:ascii="宋体" w:hAnsi="宋体" w:eastAsia="宋体" w:cs="宋体"/>
          <w:lang w:val="en-US" w:eastAsia="zh-CN"/>
        </w:rPr>
        <w:t>对</w:t>
      </w:r>
      <w:r>
        <w:rPr>
          <w:rFonts w:hint="eastAsia" w:ascii="宋体" w:hAnsi="宋体" w:eastAsia="宋体" w:cs="宋体"/>
          <w:lang w:val="en-US" w:eastAsia="zh-CN"/>
        </w:rPr>
        <w:t>光学法</w:t>
      </w:r>
      <w:r>
        <w:rPr>
          <w:rFonts w:hint="default" w:ascii="宋体" w:hAnsi="宋体" w:eastAsia="宋体" w:cs="宋体"/>
          <w:lang w:val="en-US" w:eastAsia="zh-CN"/>
        </w:rPr>
        <w:t>水质传感器</w:t>
      </w:r>
      <w:r>
        <w:rPr>
          <w:rFonts w:hint="eastAsia" w:ascii="宋体" w:hAnsi="宋体" w:eastAsia="宋体" w:cs="宋体"/>
          <w:lang w:val="en-US" w:eastAsia="zh-CN"/>
        </w:rPr>
        <w:t>，由于有镜片，需要</w:t>
      </w:r>
      <w:r>
        <w:rPr>
          <w:rFonts w:hint="default" w:ascii="宋体" w:hAnsi="宋体" w:eastAsia="宋体" w:cs="宋体"/>
          <w:lang w:val="en-US" w:eastAsia="zh-CN"/>
        </w:rPr>
        <w:t>每月进行一次</w:t>
      </w:r>
      <w:r>
        <w:rPr>
          <w:rFonts w:hint="eastAsia" w:ascii="宋体" w:hAnsi="宋体" w:eastAsia="宋体" w:cs="宋体"/>
          <w:lang w:val="en-US" w:eastAsia="zh-CN"/>
        </w:rPr>
        <w:t>镜片</w:t>
      </w:r>
      <w:r>
        <w:rPr>
          <w:rFonts w:hint="default" w:ascii="宋体" w:hAnsi="宋体" w:eastAsia="宋体" w:cs="宋体"/>
          <w:lang w:val="en-US" w:eastAsia="zh-CN"/>
        </w:rPr>
        <w:t>人工清洁（使用软毛刷和无腐蚀性清洗剂），防止生物膜或淤积干扰数据准确性</w:t>
      </w:r>
      <w:r>
        <w:rPr>
          <w:rFonts w:hint="eastAsia" w:ascii="宋体" w:hAnsi="宋体" w:eastAsia="宋体" w:cs="宋体"/>
          <w:lang w:val="en-US" w:eastAsia="zh-CN"/>
        </w:rPr>
        <w:t>。每季度应使用标准溶液（如COD标准液）或便携式检测仪对水质传感器进行现场比对校准，误差超过±10%时需返厂维修。</w:t>
      </w:r>
    </w:p>
    <w:p w14:paraId="727EB187">
      <w:pPr>
        <w:pStyle w:val="40"/>
        <w:spacing w:before="156" w:after="156"/>
        <w:outlineLvl w:val="3"/>
      </w:pPr>
      <w:r>
        <w:rPr>
          <w:rFonts w:hint="eastAsia"/>
          <w:lang w:val="en-US" w:eastAsia="zh-CN"/>
        </w:rPr>
        <w:t>9</w:t>
      </w:r>
      <w:r>
        <w:rPr>
          <w:rFonts w:hint="eastAsia"/>
        </w:rPr>
        <w:t>.</w:t>
      </w:r>
      <w:r>
        <w:rPr>
          <w:rFonts w:hint="eastAsia"/>
          <w:lang w:val="en-US" w:eastAsia="zh-CN"/>
        </w:rPr>
        <w:t>5</w:t>
      </w:r>
      <w:r>
        <w:rPr>
          <w:rFonts w:hint="eastAsia"/>
        </w:rPr>
        <w:t xml:space="preserve"> 智慧排水系统平台维护</w:t>
      </w:r>
    </w:p>
    <w:p w14:paraId="4939B863">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9.5.1 本条规定了平台软硬件维护内容：</w:t>
      </w:r>
      <w:r>
        <w:rPr>
          <w:rFonts w:hint="default" w:hAnsi="宋体" w:eastAsia="宋体" w:cs="宋体"/>
          <w:lang w:val="en-US" w:eastAsia="zh-CN"/>
        </w:rPr>
        <w:t>定期对计算机软件系统、硬件设备及网络系统进行检查和维护，确保系统稳定运行。硬件设备包括输入/输出设备、存储备份设备、UPS电源等，需重点检查电源稳定性、存储容量冗余度（建议≥20%）、网络设备端口状态等。软件维护应覆盖操作系统补丁更新、安全漏洞修复及兼容性测试</w:t>
      </w:r>
      <w:r>
        <w:rPr>
          <w:rFonts w:hint="eastAsia" w:hAnsi="宋体" w:eastAsia="宋体" w:cs="宋体"/>
          <w:lang w:val="en-US" w:eastAsia="zh-CN"/>
        </w:rPr>
        <w:t>。</w:t>
      </w:r>
    </w:p>
    <w:p w14:paraId="74517E8E">
      <w:pPr>
        <w:pStyle w:val="41"/>
        <w:ind w:left="0" w:leftChars="0" w:firstLine="0" w:firstLineChars="0"/>
        <w:rPr>
          <w:rFonts w:hint="eastAsia" w:hAnsi="宋体" w:eastAsia="宋体" w:cs="宋体"/>
          <w:lang w:val="en-US" w:eastAsia="zh-CN"/>
        </w:rPr>
      </w:pPr>
    </w:p>
    <w:p w14:paraId="0F46E568">
      <w:pPr>
        <w:pStyle w:val="41"/>
        <w:ind w:left="0" w:leftChars="0" w:firstLine="0" w:firstLineChars="0"/>
        <w:rPr>
          <w:rFonts w:hint="eastAsia" w:hAnsi="宋体" w:eastAsia="宋体" w:cs="宋体"/>
          <w:lang w:val="en-US" w:eastAsia="zh-CN"/>
        </w:rPr>
      </w:pPr>
    </w:p>
    <w:p w14:paraId="2BA96B66">
      <w:pPr>
        <w:pStyle w:val="41"/>
        <w:ind w:left="0" w:leftChars="0" w:firstLine="0" w:firstLineChars="0"/>
        <w:rPr>
          <w:rFonts w:hint="eastAsia" w:hAnsi="宋体" w:eastAsia="宋体" w:cs="宋体"/>
          <w:lang w:val="en-US" w:eastAsia="zh-CN"/>
        </w:rPr>
      </w:pPr>
    </w:p>
    <w:p w14:paraId="505B3117">
      <w:pPr>
        <w:pStyle w:val="41"/>
        <w:ind w:left="0" w:leftChars="0" w:firstLine="0" w:firstLineChars="0"/>
        <w:rPr>
          <w:rFonts w:hint="eastAsia" w:hAnsi="宋体" w:eastAsia="宋体" w:cs="宋体"/>
          <w:lang w:val="en-US" w:eastAsia="zh-CN"/>
        </w:rPr>
      </w:pPr>
    </w:p>
    <w:p w14:paraId="01FE6AB4">
      <w:pPr>
        <w:pStyle w:val="41"/>
        <w:ind w:left="0" w:leftChars="0" w:firstLine="0" w:firstLineChars="0"/>
        <w:rPr>
          <w:rFonts w:hint="eastAsia" w:hAnsi="宋体" w:eastAsia="宋体" w:cs="宋体"/>
          <w:sz w:val="21"/>
          <w:szCs w:val="21"/>
          <w:lang w:val="en-US" w:eastAsia="zh-CN"/>
        </w:rPr>
      </w:pPr>
    </w:p>
    <w:p w14:paraId="5EC90EAC">
      <w:pPr>
        <w:pStyle w:val="41"/>
        <w:ind w:left="0" w:leftChars="0" w:firstLine="0" w:firstLineChars="0"/>
        <w:rPr>
          <w:rFonts w:hint="eastAsia" w:hAnsi="宋体" w:eastAsia="宋体" w:cs="宋体"/>
          <w:sz w:val="21"/>
          <w:szCs w:val="21"/>
          <w:lang w:val="en-US" w:eastAsia="zh-CN"/>
        </w:rPr>
      </w:pPr>
    </w:p>
    <w:p w14:paraId="6B902262">
      <w:pPr>
        <w:pStyle w:val="41"/>
        <w:ind w:left="0" w:leftChars="0" w:firstLine="0" w:firstLineChars="0"/>
        <w:rPr>
          <w:rFonts w:hint="eastAsia" w:hAnsi="宋体" w:eastAsia="宋体" w:cs="宋体"/>
          <w:sz w:val="21"/>
          <w:szCs w:val="21"/>
          <w:lang w:val="en-US" w:eastAsia="zh-CN"/>
        </w:rPr>
      </w:pPr>
    </w:p>
    <w:p w14:paraId="6325F399">
      <w:pPr>
        <w:pStyle w:val="41"/>
        <w:ind w:left="0" w:leftChars="0" w:firstLine="0" w:firstLineChars="0"/>
        <w:rPr>
          <w:rFonts w:hint="eastAsia" w:hAnsi="宋体" w:eastAsia="宋体" w:cs="宋体"/>
          <w:sz w:val="21"/>
          <w:szCs w:val="21"/>
          <w:lang w:val="en-US" w:eastAsia="zh-CN"/>
        </w:rPr>
      </w:pPr>
    </w:p>
    <w:p w14:paraId="6ABA609C">
      <w:pPr>
        <w:pStyle w:val="41"/>
        <w:ind w:left="0" w:leftChars="0" w:firstLine="0" w:firstLineChars="0"/>
        <w:rPr>
          <w:rFonts w:hint="eastAsia" w:hAnsi="宋体" w:eastAsia="宋体" w:cs="宋体"/>
          <w:sz w:val="21"/>
          <w:szCs w:val="21"/>
          <w:lang w:val="en-US" w:eastAsia="zh-CN"/>
        </w:rPr>
      </w:pPr>
    </w:p>
    <w:p w14:paraId="22FB63C2">
      <w:pPr>
        <w:pStyle w:val="41"/>
        <w:ind w:left="0" w:leftChars="0" w:firstLine="0" w:firstLineChars="0"/>
        <w:rPr>
          <w:rFonts w:hint="eastAsia" w:hAnsi="宋体" w:eastAsia="宋体" w:cs="宋体"/>
          <w:sz w:val="21"/>
          <w:szCs w:val="21"/>
          <w:lang w:val="en-US" w:eastAsia="zh-CN"/>
        </w:rPr>
      </w:pPr>
    </w:p>
    <w:p w14:paraId="28A08034">
      <w:pPr>
        <w:pStyle w:val="41"/>
        <w:ind w:left="0" w:leftChars="0" w:firstLine="0" w:firstLineChars="0"/>
        <w:rPr>
          <w:rFonts w:hint="eastAsia" w:hAnsi="宋体" w:eastAsia="宋体" w:cs="宋体"/>
          <w:sz w:val="21"/>
          <w:szCs w:val="21"/>
          <w:lang w:val="en-US" w:eastAsia="zh-CN"/>
        </w:rPr>
      </w:pPr>
    </w:p>
    <w:p w14:paraId="57BCE351">
      <w:pPr>
        <w:pStyle w:val="41"/>
        <w:ind w:left="0" w:leftChars="0" w:firstLine="0" w:firstLineChars="0"/>
        <w:rPr>
          <w:rFonts w:hint="eastAsia" w:hAnsi="宋体" w:eastAsia="宋体" w:cs="宋体"/>
          <w:sz w:val="21"/>
          <w:szCs w:val="21"/>
          <w:lang w:val="en-US" w:eastAsia="zh-CN"/>
        </w:rPr>
      </w:pPr>
    </w:p>
    <w:p w14:paraId="2E779FCA">
      <w:pPr>
        <w:pStyle w:val="41"/>
        <w:ind w:left="0" w:leftChars="0" w:firstLine="0" w:firstLineChars="0"/>
        <w:rPr>
          <w:rFonts w:hint="eastAsia" w:hAnsi="宋体" w:eastAsia="宋体" w:cs="宋体"/>
          <w:sz w:val="21"/>
          <w:szCs w:val="21"/>
          <w:lang w:val="en-US" w:eastAsia="zh-CN"/>
        </w:rPr>
      </w:pPr>
    </w:p>
    <w:p w14:paraId="307A9E2B">
      <w:pPr>
        <w:pStyle w:val="41"/>
        <w:ind w:left="0" w:leftChars="0" w:firstLine="0" w:firstLineChars="0"/>
        <w:rPr>
          <w:rFonts w:hint="eastAsia" w:hAnsi="宋体" w:eastAsia="宋体" w:cs="宋体"/>
          <w:sz w:val="21"/>
          <w:szCs w:val="21"/>
          <w:lang w:val="en-US" w:eastAsia="zh-CN"/>
        </w:rPr>
      </w:pPr>
    </w:p>
    <w:p w14:paraId="0E844863">
      <w:pPr>
        <w:pStyle w:val="41"/>
        <w:ind w:left="0" w:leftChars="0" w:firstLine="0" w:firstLineChars="0"/>
        <w:rPr>
          <w:rFonts w:hint="eastAsia" w:hAnsi="宋体" w:eastAsia="宋体" w:cs="宋体"/>
          <w:sz w:val="21"/>
          <w:szCs w:val="21"/>
          <w:lang w:val="en-US" w:eastAsia="zh-CN"/>
        </w:rPr>
      </w:pPr>
    </w:p>
    <w:p w14:paraId="04FC74A8">
      <w:pPr>
        <w:pStyle w:val="41"/>
        <w:ind w:left="0" w:leftChars="0" w:firstLine="0" w:firstLineChars="0"/>
        <w:rPr>
          <w:rFonts w:hint="eastAsia" w:hAnsi="宋体" w:eastAsia="宋体" w:cs="宋体"/>
          <w:sz w:val="21"/>
          <w:szCs w:val="21"/>
          <w:lang w:val="en-US" w:eastAsia="zh-CN"/>
        </w:rPr>
      </w:pPr>
    </w:p>
    <w:p w14:paraId="345E46B5">
      <w:pPr>
        <w:pStyle w:val="41"/>
        <w:ind w:left="0" w:leftChars="0" w:firstLine="0" w:firstLineChars="0"/>
        <w:rPr>
          <w:rFonts w:hint="eastAsia" w:hAnsi="宋体" w:eastAsia="宋体" w:cs="宋体"/>
          <w:sz w:val="21"/>
          <w:szCs w:val="21"/>
          <w:lang w:val="en-US" w:eastAsia="zh-CN"/>
        </w:rPr>
      </w:pPr>
    </w:p>
    <w:p w14:paraId="22172105">
      <w:pPr>
        <w:pStyle w:val="41"/>
        <w:ind w:left="0" w:leftChars="0" w:firstLine="0" w:firstLineChars="0"/>
        <w:rPr>
          <w:rFonts w:hint="eastAsia" w:hAnsi="宋体" w:eastAsia="宋体" w:cs="宋体"/>
          <w:sz w:val="21"/>
          <w:szCs w:val="21"/>
          <w:lang w:val="en-US" w:eastAsia="zh-CN"/>
        </w:rPr>
      </w:pPr>
    </w:p>
    <w:p w14:paraId="113B671F">
      <w:pPr>
        <w:pStyle w:val="41"/>
        <w:ind w:left="0" w:leftChars="0" w:firstLine="0" w:firstLineChars="0"/>
        <w:rPr>
          <w:rFonts w:hint="eastAsia" w:hAnsi="宋体" w:eastAsia="宋体" w:cs="宋体"/>
          <w:sz w:val="21"/>
          <w:szCs w:val="21"/>
          <w:lang w:val="en-US" w:eastAsia="zh-CN"/>
        </w:rPr>
      </w:pPr>
    </w:p>
    <w:sectPr>
      <w:headerReference r:id="rId17" w:type="default"/>
      <w:footerReference r:id="rId19" w:type="default"/>
      <w:headerReference r:id="rId18" w:type="even"/>
      <w:footerReference r:id="rId20" w:type="even"/>
      <w:pgSz w:w="11906" w:h="16838"/>
      <w:pgMar w:top="567"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Rounded MT Bold">
    <w:panose1 w:val="020F0704030504030204"/>
    <w:charset w:val="00"/>
    <w:family w:val="swiss"/>
    <w:pitch w:val="default"/>
    <w:sig w:usb0="00000003"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modern"/>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62C7C">
    <w:pPr>
      <w:pStyle w:val="20"/>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D67C2">
    <w:pPr>
      <w:pStyle w:val="20"/>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C2A00">
    <w:pPr>
      <w:pStyle w:val="62"/>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0B2E5">
    <w:pPr>
      <w:pStyle w:val="6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AB949">
    <w:pPr>
      <w:pStyle w:val="62"/>
    </w:pPr>
    <w:r>
      <w:fldChar w:fldCharType="begin"/>
    </w:r>
    <w:r>
      <w:instrText xml:space="preserve">PAGE   \* MERGEFORMAT</w:instrText>
    </w:r>
    <w:r>
      <w:fldChar w:fldCharType="separate"/>
    </w:r>
    <w:r>
      <w:rPr>
        <w:lang w:val="zh-CN"/>
      </w:rP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6CDCC">
    <w:pPr>
      <w:pStyle w:val="61"/>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58412">
    <w:pPr>
      <w:pStyle w:val="6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327B9">
                          <w:pPr>
                            <w:pStyle w:val="62"/>
                          </w:pPr>
                          <w:r>
                            <w:fldChar w:fldCharType="begin"/>
                          </w:r>
                          <w:r>
                            <w:instrText xml:space="preserve">PAGE   \* MERGEFORMAT</w:instrText>
                          </w:r>
                          <w:r>
                            <w:fldChar w:fldCharType="separate"/>
                          </w:r>
                          <w:r>
                            <w:rPr>
                              <w:lang w:val="zh-CN"/>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2B327B9">
                    <w:pPr>
                      <w:pStyle w:val="62"/>
                    </w:pPr>
                    <w:r>
                      <w:fldChar w:fldCharType="begin"/>
                    </w:r>
                    <w:r>
                      <w:instrText xml:space="preserve">PAGE   \* MERGEFORMAT</w:instrText>
                    </w:r>
                    <w:r>
                      <w:fldChar w:fldCharType="separate"/>
                    </w:r>
                    <w:r>
                      <w:rPr>
                        <w:lang w:val="zh-CN"/>
                      </w:rPr>
                      <w:t>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F052C">
    <w:pPr>
      <w:pStyle w:val="61"/>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3B647">
                          <w:pPr>
                            <w:pStyle w:val="61"/>
                          </w:pPr>
                          <w:r>
                            <w:fldChar w:fldCharType="begin"/>
                          </w:r>
                          <w:r>
                            <w:instrText xml:space="preserve"> PAGE   \* MERGEFORMAT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C23B647">
                    <w:pPr>
                      <w:pStyle w:val="61"/>
                    </w:pPr>
                    <w:r>
                      <w:fldChar w:fldCharType="begin"/>
                    </w:r>
                    <w:r>
                      <w:instrText xml:space="preserve"> PAGE   \* MERGEFORMAT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708EF">
    <w:pPr>
      <w:pStyle w:val="21"/>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AB4C9">
    <w:pPr>
      <w:pStyle w:val="21"/>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A7E07">
    <w:pPr>
      <w:pStyle w:val="71"/>
    </w:pPr>
    <w:r>
      <w:fldChar w:fldCharType="begin"/>
    </w:r>
    <w:r>
      <w:instrText xml:space="preserve"> STYLEREF  标准文件_文件编号  \* MERGEFORMAT </w:instrText>
    </w:r>
    <w:r>
      <w:fldChar w:fldCharType="separate"/>
    </w:r>
    <w:r>
      <w:t>DBXX/T XXXX—2025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DD2AA">
    <w:pPr>
      <w:pStyle w:val="7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8F6FC">
    <w:pPr>
      <w:pStyle w:val="71"/>
    </w:pPr>
    <w:r>
      <w:fldChar w:fldCharType="begin"/>
    </w:r>
    <w:r>
      <w:instrText xml:space="preserve"> STYLEREF  标准文件_文件编号  \* MERGEFORMAT </w:instrText>
    </w:r>
    <w:r>
      <w:fldChar w:fldCharType="separate"/>
    </w:r>
    <w:r>
      <w:t>DBXX/T XXXX—2025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EA508">
    <w:pPr>
      <w:pStyle w:val="72"/>
    </w:pPr>
    <w:r>
      <w:fldChar w:fldCharType="begin"/>
    </w:r>
    <w:r>
      <w:instrText xml:space="preserve"> STYLEREF  标准文件_文件编号 \* MERGEFORMAT </w:instrText>
    </w:r>
    <w:r>
      <w:fldChar w:fldCharType="separate"/>
    </w:r>
    <w:r>
      <w:t>DBXX/T XXXX—2025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1CC73">
    <w:pPr>
      <w:pStyle w:val="71"/>
    </w:pPr>
    <w:r>
      <w:fldChar w:fldCharType="begin"/>
    </w:r>
    <w:r>
      <w:instrText xml:space="preserve"> STYLEREF  标准文件_文件编号  \* MERGEFORMAT </w:instrText>
    </w:r>
    <w:r>
      <w:fldChar w:fldCharType="separate"/>
    </w:r>
    <w:r>
      <w:t>DBXX/T XXXX—2025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AD26E">
    <w:pPr>
      <w:pStyle w:val="72"/>
    </w:pPr>
    <w:r>
      <w:fldChar w:fldCharType="begin"/>
    </w:r>
    <w:r>
      <w:instrText xml:space="preserve"> STYLEREF  标准文件_文件编号 \* MERGEFORMAT </w:instrText>
    </w:r>
    <w:r>
      <w:fldChar w:fldCharType="separate"/>
    </w:r>
    <w:r>
      <w:t>DBXX/T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EDD2D"/>
    <w:multiLevelType w:val="singleLevel"/>
    <w:tmpl w:val="830EDD2D"/>
    <w:lvl w:ilvl="0" w:tentative="0">
      <w:start w:val="1"/>
      <w:numFmt w:val="lowerLetter"/>
      <w:suff w:val="space"/>
      <w:lvlText w:val="%1)"/>
      <w:lvlJc w:val="left"/>
      <w:pPr>
        <w:ind w:left="726" w:leftChars="0" w:hanging="306" w:firstLineChars="0"/>
      </w:pPr>
      <w:rPr>
        <w:rFonts w:hint="default"/>
        <w:sz w:val="21"/>
        <w:szCs w:val="21"/>
      </w:rPr>
    </w:lvl>
  </w:abstractNum>
  <w:abstractNum w:abstractNumId="1">
    <w:nsid w:val="85237615"/>
    <w:multiLevelType w:val="singleLevel"/>
    <w:tmpl w:val="85237615"/>
    <w:lvl w:ilvl="0" w:tentative="0">
      <w:start w:val="1"/>
      <w:numFmt w:val="decimal"/>
      <w:suff w:val="space"/>
      <w:lvlText w:val="%1）"/>
      <w:lvlJc w:val="left"/>
      <w:pPr>
        <w:ind w:left="1145" w:leftChars="0" w:hanging="419" w:firstLineChars="0"/>
      </w:pPr>
      <w:rPr>
        <w:rFonts w:hint="default"/>
        <w:sz w:val="21"/>
        <w:szCs w:val="21"/>
      </w:rPr>
    </w:lvl>
  </w:abstractNum>
  <w:abstractNum w:abstractNumId="2">
    <w:nsid w:val="913D23BB"/>
    <w:multiLevelType w:val="singleLevel"/>
    <w:tmpl w:val="913D23BB"/>
    <w:lvl w:ilvl="0" w:tentative="0">
      <w:start w:val="1"/>
      <w:numFmt w:val="lowerLetter"/>
      <w:suff w:val="space"/>
      <w:lvlText w:val="%1)"/>
      <w:lvlJc w:val="left"/>
      <w:pPr>
        <w:ind w:left="726" w:leftChars="0" w:hanging="306" w:firstLineChars="0"/>
      </w:pPr>
      <w:rPr>
        <w:rFonts w:hint="default"/>
        <w:sz w:val="21"/>
        <w:szCs w:val="21"/>
      </w:rPr>
    </w:lvl>
  </w:abstractNum>
  <w:abstractNum w:abstractNumId="3">
    <w:nsid w:val="9828F788"/>
    <w:multiLevelType w:val="singleLevel"/>
    <w:tmpl w:val="9828F788"/>
    <w:lvl w:ilvl="0" w:tentative="0">
      <w:start w:val="1"/>
      <w:numFmt w:val="decimal"/>
      <w:suff w:val="space"/>
      <w:lvlText w:val="%1）"/>
      <w:lvlJc w:val="left"/>
      <w:pPr>
        <w:ind w:left="1145" w:leftChars="0" w:hanging="419" w:firstLineChars="0"/>
      </w:pPr>
      <w:rPr>
        <w:rFonts w:hint="default"/>
        <w:sz w:val="21"/>
        <w:szCs w:val="21"/>
      </w:rPr>
    </w:lvl>
  </w:abstractNum>
  <w:abstractNum w:abstractNumId="4">
    <w:nsid w:val="9F4A4FD1"/>
    <w:multiLevelType w:val="singleLevel"/>
    <w:tmpl w:val="9F4A4FD1"/>
    <w:lvl w:ilvl="0" w:tentative="0">
      <w:start w:val="1"/>
      <w:numFmt w:val="lowerLetter"/>
      <w:suff w:val="space"/>
      <w:lvlText w:val="%1)"/>
      <w:lvlJc w:val="left"/>
      <w:pPr>
        <w:ind w:left="726" w:leftChars="0" w:hanging="306" w:firstLineChars="0"/>
      </w:pPr>
      <w:rPr>
        <w:rFonts w:hint="default"/>
        <w:sz w:val="21"/>
        <w:szCs w:val="21"/>
      </w:rPr>
    </w:lvl>
  </w:abstractNum>
  <w:abstractNum w:abstractNumId="5">
    <w:nsid w:val="A118ACA6"/>
    <w:multiLevelType w:val="singleLevel"/>
    <w:tmpl w:val="A118ACA6"/>
    <w:lvl w:ilvl="0" w:tentative="0">
      <w:start w:val="1"/>
      <w:numFmt w:val="lowerLetter"/>
      <w:suff w:val="space"/>
      <w:lvlText w:val="%1)"/>
      <w:lvlJc w:val="left"/>
      <w:pPr>
        <w:ind w:left="726" w:leftChars="0" w:hanging="306" w:firstLineChars="0"/>
      </w:pPr>
      <w:rPr>
        <w:rFonts w:hint="default"/>
        <w:sz w:val="21"/>
        <w:szCs w:val="21"/>
      </w:rPr>
    </w:lvl>
  </w:abstractNum>
  <w:abstractNum w:abstractNumId="6">
    <w:nsid w:val="A245627B"/>
    <w:multiLevelType w:val="singleLevel"/>
    <w:tmpl w:val="A245627B"/>
    <w:lvl w:ilvl="0" w:tentative="0">
      <w:start w:val="1"/>
      <w:numFmt w:val="decimal"/>
      <w:suff w:val="space"/>
      <w:lvlText w:val="%1）"/>
      <w:lvlJc w:val="left"/>
      <w:pPr>
        <w:ind w:left="1145" w:leftChars="0" w:hanging="419" w:firstLineChars="0"/>
      </w:pPr>
      <w:rPr>
        <w:rFonts w:hint="default"/>
        <w:sz w:val="21"/>
        <w:szCs w:val="21"/>
      </w:rPr>
    </w:lvl>
  </w:abstractNum>
  <w:abstractNum w:abstractNumId="7">
    <w:nsid w:val="A52C84B9"/>
    <w:multiLevelType w:val="singleLevel"/>
    <w:tmpl w:val="A52C84B9"/>
    <w:lvl w:ilvl="0" w:tentative="0">
      <w:start w:val="1"/>
      <w:numFmt w:val="decimal"/>
      <w:pStyle w:val="262"/>
      <w:suff w:val="nothing"/>
      <w:lvlText w:val="附录B%1　"/>
      <w:lvlJc w:val="left"/>
      <w:pPr>
        <w:ind w:left="0" w:firstLine="403"/>
      </w:pPr>
      <w:rPr>
        <w:rFonts w:hint="default"/>
      </w:rPr>
    </w:lvl>
  </w:abstractNum>
  <w:abstractNum w:abstractNumId="8">
    <w:nsid w:val="AAF7FA08"/>
    <w:multiLevelType w:val="singleLevel"/>
    <w:tmpl w:val="AAF7FA08"/>
    <w:lvl w:ilvl="0" w:tentative="0">
      <w:start w:val="1"/>
      <w:numFmt w:val="lowerLetter"/>
      <w:suff w:val="space"/>
      <w:lvlText w:val="%1)"/>
      <w:lvlJc w:val="left"/>
      <w:pPr>
        <w:ind w:left="726" w:leftChars="0" w:hanging="306" w:firstLineChars="0"/>
      </w:pPr>
      <w:rPr>
        <w:rFonts w:hint="default"/>
        <w:sz w:val="21"/>
        <w:szCs w:val="21"/>
      </w:rPr>
    </w:lvl>
  </w:abstractNum>
  <w:abstractNum w:abstractNumId="9">
    <w:nsid w:val="B22BA24A"/>
    <w:multiLevelType w:val="singleLevel"/>
    <w:tmpl w:val="B22BA24A"/>
    <w:lvl w:ilvl="0" w:tentative="0">
      <w:start w:val="1"/>
      <w:numFmt w:val="lowerLetter"/>
      <w:suff w:val="space"/>
      <w:lvlText w:val="%1)"/>
      <w:lvlJc w:val="left"/>
      <w:pPr>
        <w:ind w:left="726" w:leftChars="0" w:hanging="306" w:firstLineChars="0"/>
      </w:pPr>
      <w:rPr>
        <w:rFonts w:hint="default"/>
        <w:sz w:val="21"/>
        <w:szCs w:val="21"/>
      </w:rPr>
    </w:lvl>
  </w:abstractNum>
  <w:abstractNum w:abstractNumId="10">
    <w:nsid w:val="B4308E83"/>
    <w:multiLevelType w:val="singleLevel"/>
    <w:tmpl w:val="B4308E83"/>
    <w:lvl w:ilvl="0" w:tentative="0">
      <w:start w:val="1"/>
      <w:numFmt w:val="lowerLetter"/>
      <w:suff w:val="space"/>
      <w:lvlText w:val="%1)"/>
      <w:lvlJc w:val="left"/>
      <w:pPr>
        <w:ind w:left="726" w:leftChars="0" w:hanging="306" w:firstLineChars="0"/>
      </w:pPr>
      <w:rPr>
        <w:rFonts w:hint="default"/>
        <w:sz w:val="21"/>
        <w:szCs w:val="21"/>
      </w:rPr>
    </w:lvl>
  </w:abstractNum>
  <w:abstractNum w:abstractNumId="11">
    <w:nsid w:val="B5AEDEF3"/>
    <w:multiLevelType w:val="singleLevel"/>
    <w:tmpl w:val="B5AEDEF3"/>
    <w:lvl w:ilvl="0" w:tentative="0">
      <w:start w:val="1"/>
      <w:numFmt w:val="lowerLetter"/>
      <w:suff w:val="space"/>
      <w:lvlText w:val="%1)"/>
      <w:lvlJc w:val="left"/>
      <w:pPr>
        <w:ind w:left="726" w:leftChars="0" w:hanging="306" w:firstLineChars="0"/>
      </w:pPr>
      <w:rPr>
        <w:rFonts w:hint="default"/>
        <w:sz w:val="21"/>
        <w:szCs w:val="21"/>
      </w:rPr>
    </w:lvl>
  </w:abstractNum>
  <w:abstractNum w:abstractNumId="12">
    <w:nsid w:val="B645265A"/>
    <w:multiLevelType w:val="singleLevel"/>
    <w:tmpl w:val="B645265A"/>
    <w:lvl w:ilvl="0" w:tentative="0">
      <w:start w:val="1"/>
      <w:numFmt w:val="decimal"/>
      <w:suff w:val="space"/>
      <w:lvlText w:val="%1）"/>
      <w:lvlJc w:val="left"/>
      <w:pPr>
        <w:ind w:left="1145" w:leftChars="0" w:hanging="419" w:firstLineChars="0"/>
      </w:pPr>
      <w:rPr>
        <w:rFonts w:hint="default"/>
        <w:sz w:val="21"/>
        <w:szCs w:val="21"/>
      </w:rPr>
    </w:lvl>
  </w:abstractNum>
  <w:abstractNum w:abstractNumId="13">
    <w:nsid w:val="BC12D6D3"/>
    <w:multiLevelType w:val="singleLevel"/>
    <w:tmpl w:val="BC12D6D3"/>
    <w:lvl w:ilvl="0" w:tentative="0">
      <w:start w:val="1"/>
      <w:numFmt w:val="decimal"/>
      <w:suff w:val="space"/>
      <w:lvlText w:val="%1）"/>
      <w:lvlJc w:val="left"/>
      <w:pPr>
        <w:ind w:left="1145" w:leftChars="0" w:hanging="419" w:firstLineChars="0"/>
      </w:pPr>
      <w:rPr>
        <w:rFonts w:hint="default"/>
        <w:sz w:val="21"/>
        <w:szCs w:val="21"/>
      </w:rPr>
    </w:lvl>
  </w:abstractNum>
  <w:abstractNum w:abstractNumId="14">
    <w:nsid w:val="C0E696D6"/>
    <w:multiLevelType w:val="singleLevel"/>
    <w:tmpl w:val="C0E696D6"/>
    <w:lvl w:ilvl="0" w:tentative="0">
      <w:start w:val="1"/>
      <w:numFmt w:val="lowerLetter"/>
      <w:suff w:val="space"/>
      <w:lvlText w:val="%1)"/>
      <w:lvlJc w:val="left"/>
      <w:pPr>
        <w:ind w:left="726" w:leftChars="0" w:hanging="306" w:firstLineChars="0"/>
      </w:pPr>
      <w:rPr>
        <w:rFonts w:hint="default"/>
        <w:sz w:val="21"/>
        <w:szCs w:val="21"/>
      </w:rPr>
    </w:lvl>
  </w:abstractNum>
  <w:abstractNum w:abstractNumId="15">
    <w:nsid w:val="C158391A"/>
    <w:multiLevelType w:val="singleLevel"/>
    <w:tmpl w:val="C158391A"/>
    <w:lvl w:ilvl="0" w:tentative="0">
      <w:start w:val="1"/>
      <w:numFmt w:val="lowerLetter"/>
      <w:suff w:val="space"/>
      <w:lvlText w:val="%1)"/>
      <w:lvlJc w:val="left"/>
      <w:pPr>
        <w:ind w:left="726" w:leftChars="0" w:hanging="306" w:firstLineChars="0"/>
      </w:pPr>
      <w:rPr>
        <w:rFonts w:hint="default"/>
        <w:sz w:val="21"/>
        <w:szCs w:val="21"/>
      </w:rPr>
    </w:lvl>
  </w:abstractNum>
  <w:abstractNum w:abstractNumId="16">
    <w:nsid w:val="D04F0DDD"/>
    <w:multiLevelType w:val="singleLevel"/>
    <w:tmpl w:val="D04F0DDD"/>
    <w:lvl w:ilvl="0" w:tentative="0">
      <w:start w:val="1"/>
      <w:numFmt w:val="lowerLetter"/>
      <w:suff w:val="space"/>
      <w:lvlText w:val="%1)"/>
      <w:lvlJc w:val="left"/>
      <w:pPr>
        <w:ind w:left="726" w:leftChars="0" w:hanging="306" w:firstLineChars="0"/>
      </w:pPr>
      <w:rPr>
        <w:rFonts w:hint="default"/>
        <w:sz w:val="21"/>
        <w:szCs w:val="21"/>
      </w:rPr>
    </w:lvl>
  </w:abstractNum>
  <w:abstractNum w:abstractNumId="17">
    <w:nsid w:val="D3E0579D"/>
    <w:multiLevelType w:val="singleLevel"/>
    <w:tmpl w:val="D3E0579D"/>
    <w:lvl w:ilvl="0" w:tentative="0">
      <w:start w:val="1"/>
      <w:numFmt w:val="lowerLetter"/>
      <w:suff w:val="space"/>
      <w:lvlText w:val="%1)"/>
      <w:lvlJc w:val="left"/>
      <w:pPr>
        <w:ind w:left="726" w:leftChars="0" w:hanging="306" w:firstLineChars="0"/>
      </w:pPr>
      <w:rPr>
        <w:rFonts w:hint="default"/>
        <w:sz w:val="21"/>
        <w:szCs w:val="21"/>
      </w:rPr>
    </w:lvl>
  </w:abstractNum>
  <w:abstractNum w:abstractNumId="18">
    <w:nsid w:val="D6D960D0"/>
    <w:multiLevelType w:val="singleLevel"/>
    <w:tmpl w:val="D6D960D0"/>
    <w:lvl w:ilvl="0" w:tentative="0">
      <w:start w:val="1"/>
      <w:numFmt w:val="lowerLetter"/>
      <w:suff w:val="space"/>
      <w:lvlText w:val="%1)"/>
      <w:lvlJc w:val="left"/>
      <w:pPr>
        <w:ind w:left="726" w:leftChars="0" w:hanging="306" w:firstLineChars="0"/>
      </w:pPr>
      <w:rPr>
        <w:rFonts w:hint="default"/>
        <w:sz w:val="21"/>
        <w:szCs w:val="21"/>
      </w:rPr>
    </w:lvl>
  </w:abstractNum>
  <w:abstractNum w:abstractNumId="19">
    <w:nsid w:val="E58E553B"/>
    <w:multiLevelType w:val="singleLevel"/>
    <w:tmpl w:val="E58E553B"/>
    <w:lvl w:ilvl="0" w:tentative="0">
      <w:start w:val="1"/>
      <w:numFmt w:val="lowerLetter"/>
      <w:suff w:val="space"/>
      <w:lvlText w:val="%1)"/>
      <w:lvlJc w:val="left"/>
      <w:pPr>
        <w:ind w:left="726" w:leftChars="0" w:hanging="306" w:firstLineChars="0"/>
      </w:pPr>
      <w:rPr>
        <w:rFonts w:hint="default"/>
        <w:sz w:val="21"/>
        <w:szCs w:val="21"/>
      </w:rPr>
    </w:lvl>
  </w:abstractNum>
  <w:abstractNum w:abstractNumId="20">
    <w:nsid w:val="ECBDB7E7"/>
    <w:multiLevelType w:val="singleLevel"/>
    <w:tmpl w:val="ECBDB7E7"/>
    <w:lvl w:ilvl="0" w:tentative="0">
      <w:start w:val="1"/>
      <w:numFmt w:val="lowerLetter"/>
      <w:suff w:val="space"/>
      <w:lvlText w:val="%1)"/>
      <w:lvlJc w:val="left"/>
      <w:pPr>
        <w:ind w:left="726" w:leftChars="0" w:hanging="306" w:firstLineChars="0"/>
      </w:pPr>
      <w:rPr>
        <w:rFonts w:hint="default"/>
        <w:sz w:val="21"/>
        <w:szCs w:val="21"/>
      </w:rPr>
    </w:lvl>
  </w:abstractNum>
  <w:abstractNum w:abstractNumId="21">
    <w:nsid w:val="EDC069B9"/>
    <w:multiLevelType w:val="singleLevel"/>
    <w:tmpl w:val="EDC069B9"/>
    <w:lvl w:ilvl="0" w:tentative="0">
      <w:start w:val="1"/>
      <w:numFmt w:val="lowerLetter"/>
      <w:suff w:val="space"/>
      <w:lvlText w:val="%1)"/>
      <w:lvlJc w:val="left"/>
      <w:pPr>
        <w:ind w:left="726" w:leftChars="0" w:hanging="306" w:firstLineChars="0"/>
      </w:pPr>
      <w:rPr>
        <w:rFonts w:hint="default" w:ascii="仿宋_GB2312" w:hAnsi="仿宋_GB2312" w:eastAsia="仿宋_GB2312" w:cs="仿宋_GB2312"/>
        <w:sz w:val="18"/>
        <w:szCs w:val="18"/>
      </w:rPr>
    </w:lvl>
  </w:abstractNum>
  <w:abstractNum w:abstractNumId="22">
    <w:nsid w:val="02067C1C"/>
    <w:multiLevelType w:val="singleLevel"/>
    <w:tmpl w:val="02067C1C"/>
    <w:lvl w:ilvl="0" w:tentative="0">
      <w:start w:val="1"/>
      <w:numFmt w:val="lowerLetter"/>
      <w:suff w:val="space"/>
      <w:lvlText w:val="%1)"/>
      <w:lvlJc w:val="left"/>
      <w:pPr>
        <w:ind w:left="726" w:leftChars="0" w:hanging="306" w:firstLineChars="0"/>
      </w:pPr>
      <w:rPr>
        <w:rFonts w:hint="default"/>
        <w:sz w:val="21"/>
        <w:szCs w:val="21"/>
      </w:rPr>
    </w:lvl>
  </w:abstractNum>
  <w:abstractNum w:abstractNumId="23">
    <w:nsid w:val="02837933"/>
    <w:multiLevelType w:val="multilevel"/>
    <w:tmpl w:val="02837933"/>
    <w:lvl w:ilvl="0" w:tentative="0">
      <w:start w:val="1"/>
      <w:numFmt w:val="decimal"/>
      <w:pStyle w:val="7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4">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9"/>
      <w:suff w:val="nothing"/>
      <w:lvlText w:val="%1%2.%3　"/>
      <w:lvlJc w:val="left"/>
      <w:pPr>
        <w:ind w:left="0" w:firstLine="0"/>
      </w:pPr>
    </w:lvl>
    <w:lvl w:ilvl="3" w:tentative="0">
      <w:start w:val="1"/>
      <w:numFmt w:val="decimal"/>
      <w:pStyle w:val="128"/>
      <w:suff w:val="nothing"/>
      <w:lvlText w:val="%1%2.%3.%4　"/>
      <w:lvlJc w:val="left"/>
      <w:pPr>
        <w:ind w:left="0" w:firstLine="0"/>
      </w:pPr>
    </w:lvl>
    <w:lvl w:ilvl="4" w:tentative="0">
      <w:start w:val="1"/>
      <w:numFmt w:val="decimal"/>
      <w:pStyle w:val="163"/>
      <w:suff w:val="nothing"/>
      <w:lvlText w:val="%1%2.%3.%4.%5　"/>
      <w:lvlJc w:val="left"/>
      <w:pPr>
        <w:ind w:left="0" w:firstLine="0"/>
      </w:pPr>
    </w:lvl>
    <w:lvl w:ilvl="5" w:tentative="0">
      <w:start w:val="1"/>
      <w:numFmt w:val="decimal"/>
      <w:pStyle w:val="165"/>
      <w:suff w:val="nothing"/>
      <w:lvlText w:val="%1%2.%3.%4.%5.%6　"/>
      <w:lvlJc w:val="left"/>
      <w:pPr>
        <w:ind w:left="0" w:firstLine="0"/>
      </w:pPr>
    </w:lvl>
    <w:lvl w:ilvl="6" w:tentative="0">
      <w:start w:val="1"/>
      <w:numFmt w:val="decimal"/>
      <w:pStyle w:val="16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079102AD"/>
    <w:multiLevelType w:val="multilevel"/>
    <w:tmpl w:val="079102AD"/>
    <w:lvl w:ilvl="0" w:tentative="0">
      <w:start w:val="1"/>
      <w:numFmt w:val="decimal"/>
      <w:pStyle w:val="19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6">
    <w:nsid w:val="07ED3FEA"/>
    <w:multiLevelType w:val="multilevel"/>
    <w:tmpl w:val="07ED3FEA"/>
    <w:lvl w:ilvl="0" w:tentative="0">
      <w:start w:val="1"/>
      <w:numFmt w:val="none"/>
      <w:pStyle w:val="99"/>
      <w:lvlText w:val="%1"/>
      <w:lvlJc w:val="left"/>
      <w:pPr>
        <w:ind w:left="425" w:hanging="425"/>
      </w:pPr>
      <w:rPr>
        <w:rFonts w:hint="eastAsia"/>
      </w:rPr>
    </w:lvl>
    <w:lvl w:ilvl="1" w:tentative="0">
      <w:start w:val="1"/>
      <w:numFmt w:val="decimal"/>
      <w:pStyle w:val="210"/>
      <w:suff w:val="nothing"/>
      <w:lvlText w:val="%10.%2 "/>
      <w:lvlJc w:val="left"/>
      <w:pPr>
        <w:ind w:left="0" w:firstLine="0"/>
      </w:pPr>
      <w:rPr>
        <w:rFonts w:hint="eastAsia" w:ascii="黑体" w:eastAsia="黑体" w:hAnsiTheme="minorHAnsi"/>
        <w:b w:val="0"/>
        <w:i w:val="0"/>
        <w:sz w:val="21"/>
      </w:rPr>
    </w:lvl>
    <w:lvl w:ilvl="2" w:tentative="0">
      <w:start w:val="1"/>
      <w:numFmt w:val="decimal"/>
      <w:pStyle w:val="211"/>
      <w:suff w:val="nothing"/>
      <w:lvlText w:val="%10.%2.%3 "/>
      <w:lvlJc w:val="left"/>
      <w:pPr>
        <w:ind w:left="0" w:firstLine="0"/>
      </w:pPr>
      <w:rPr>
        <w:rFonts w:hint="eastAsia" w:ascii="黑体" w:eastAsia="黑体" w:hAnsiTheme="minorHAnsi"/>
        <w:b w:val="0"/>
        <w:i w:val="0"/>
        <w:sz w:val="21"/>
      </w:rPr>
    </w:lvl>
    <w:lvl w:ilvl="3" w:tentative="0">
      <w:start w:val="1"/>
      <w:numFmt w:val="decimal"/>
      <w:pStyle w:val="212"/>
      <w:suff w:val="nothing"/>
      <w:lvlText w:val="%10.%2.%3.%4 "/>
      <w:lvlJc w:val="left"/>
      <w:pPr>
        <w:ind w:left="0" w:firstLine="0"/>
      </w:pPr>
      <w:rPr>
        <w:rFonts w:hint="eastAsia" w:ascii="黑体" w:eastAsia="黑体" w:hAnsiTheme="minorHAnsi"/>
        <w:b w:val="0"/>
        <w:i w:val="0"/>
        <w:sz w:val="21"/>
      </w:rPr>
    </w:lvl>
    <w:lvl w:ilvl="4" w:tentative="0">
      <w:start w:val="1"/>
      <w:numFmt w:val="decimal"/>
      <w:pStyle w:val="213"/>
      <w:suff w:val="nothing"/>
      <w:lvlText w:val="%10.%2.%3.%4.%5 "/>
      <w:lvlJc w:val="left"/>
      <w:pPr>
        <w:ind w:left="0" w:firstLine="0"/>
      </w:pPr>
      <w:rPr>
        <w:rFonts w:hint="eastAsia" w:ascii="黑体" w:eastAsia="黑体" w:hAnsiTheme="minorHAnsi"/>
        <w:b w:val="0"/>
        <w:i w:val="0"/>
        <w:sz w:val="21"/>
      </w:rPr>
    </w:lvl>
    <w:lvl w:ilvl="5" w:tentative="0">
      <w:start w:val="1"/>
      <w:numFmt w:val="decimal"/>
      <w:pStyle w:val="21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7">
    <w:nsid w:val="0AE367E9"/>
    <w:multiLevelType w:val="multilevel"/>
    <w:tmpl w:val="0AE367E9"/>
    <w:lvl w:ilvl="0" w:tentative="0">
      <w:start w:val="1"/>
      <w:numFmt w:val="none"/>
      <w:pStyle w:val="19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8">
    <w:nsid w:val="0BDC1670"/>
    <w:multiLevelType w:val="multilevel"/>
    <w:tmpl w:val="0BDC1670"/>
    <w:lvl w:ilvl="0" w:tentative="0">
      <w:start w:val="1"/>
      <w:numFmt w:val="decimal"/>
      <w:pStyle w:val="7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0D051F45"/>
    <w:multiLevelType w:val="multilevel"/>
    <w:tmpl w:val="0D051F45"/>
    <w:lvl w:ilvl="0" w:tentative="0">
      <w:start w:val="1"/>
      <w:numFmt w:val="lowerRoman"/>
      <w:pStyle w:val="17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30">
    <w:nsid w:val="1595EF5E"/>
    <w:multiLevelType w:val="singleLevel"/>
    <w:tmpl w:val="1595EF5E"/>
    <w:lvl w:ilvl="0" w:tentative="0">
      <w:start w:val="1"/>
      <w:numFmt w:val="lowerLetter"/>
      <w:suff w:val="space"/>
      <w:lvlText w:val="%1)"/>
      <w:lvlJc w:val="left"/>
      <w:pPr>
        <w:ind w:left="726" w:leftChars="0" w:hanging="306" w:firstLineChars="0"/>
      </w:pPr>
      <w:rPr>
        <w:rFonts w:hint="default"/>
        <w:sz w:val="21"/>
        <w:szCs w:val="21"/>
      </w:rPr>
    </w:lvl>
  </w:abstractNum>
  <w:abstractNum w:abstractNumId="31">
    <w:nsid w:val="1A97209D"/>
    <w:multiLevelType w:val="singleLevel"/>
    <w:tmpl w:val="1A97209D"/>
    <w:lvl w:ilvl="0" w:tentative="0">
      <w:start w:val="1"/>
      <w:numFmt w:val="lowerLetter"/>
      <w:suff w:val="space"/>
      <w:lvlText w:val="%1)"/>
      <w:lvlJc w:val="left"/>
      <w:pPr>
        <w:ind w:left="726" w:leftChars="0" w:hanging="306" w:firstLineChars="0"/>
      </w:pPr>
      <w:rPr>
        <w:rFonts w:hint="default"/>
        <w:sz w:val="21"/>
        <w:szCs w:val="21"/>
      </w:rPr>
    </w:lvl>
  </w:abstractNum>
  <w:abstractNum w:abstractNumId="32">
    <w:nsid w:val="1AD20F90"/>
    <w:multiLevelType w:val="multilevel"/>
    <w:tmpl w:val="1AD20F90"/>
    <w:lvl w:ilvl="0" w:tentative="0">
      <w:start w:val="1"/>
      <w:numFmt w:val="none"/>
      <w:pStyle w:val="12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1AF15012"/>
    <w:multiLevelType w:val="multilevel"/>
    <w:tmpl w:val="1AF15012"/>
    <w:lvl w:ilvl="0" w:tentative="0">
      <w:start w:val="1"/>
      <w:numFmt w:val="upperLetter"/>
      <w:pStyle w:val="9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4">
    <w:nsid w:val="1EAA1992"/>
    <w:multiLevelType w:val="multilevel"/>
    <w:tmpl w:val="1EAA1992"/>
    <w:lvl w:ilvl="0" w:tentative="0">
      <w:start w:val="1"/>
      <w:numFmt w:val="none"/>
      <w:pStyle w:val="10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35">
    <w:nsid w:val="1FC91163"/>
    <w:multiLevelType w:val="multilevel"/>
    <w:tmpl w:val="1FC91163"/>
    <w:lvl w:ilvl="0" w:tentative="0">
      <w:start w:val="1"/>
      <w:numFmt w:val="decimal"/>
      <w:pStyle w:val="42"/>
      <w:suff w:val="nothing"/>
      <w:lvlText w:val="%1　"/>
      <w:lvlJc w:val="left"/>
      <w:rPr>
        <w:rFonts w:hint="eastAsia" w:ascii="黑体" w:hAnsi="Times New Roman" w:eastAsia="黑体" w:cs="Times New Roman"/>
        <w:b w:val="0"/>
        <w:i w:val="0"/>
        <w:sz w:val="21"/>
        <w:szCs w:val="21"/>
      </w:rPr>
    </w:lvl>
    <w:lvl w:ilvl="1" w:tentative="0">
      <w:start w:val="1"/>
      <w:numFmt w:val="decimal"/>
      <w:pStyle w:val="268"/>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39"/>
      <w:suff w:val="nothing"/>
      <w:lvlText w:val="%1.%2.%3　"/>
      <w:lvlJc w:val="left"/>
      <w:pPr>
        <w:ind w:left="1701"/>
      </w:pPr>
      <w:rPr>
        <w:rFonts w:ascii="黑体" w:hAnsi="黑体" w:eastAsia="黑体"/>
        <w:b w:val="0"/>
        <w:bCs w:val="0"/>
        <w:i w:val="0"/>
        <w:iCs w:val="0"/>
        <w:caps w:val="0"/>
        <w:smallCaps w:val="0"/>
        <w:strike w:val="0"/>
        <w:dstrike w:val="0"/>
        <w:color w:val="auto"/>
        <w:spacing w:val="0"/>
        <w:w w:val="100"/>
        <w:kern w:val="0"/>
        <w:position w:val="0"/>
        <w:sz w:val="21"/>
        <w:u w:val="none"/>
        <w:shd w:val="clear" w:color="auto" w:fill="auto"/>
        <w:vertAlign w:val="baseline"/>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36">
    <w:nsid w:val="2A8F7113"/>
    <w:multiLevelType w:val="multilevel"/>
    <w:tmpl w:val="2A8F7113"/>
    <w:lvl w:ilvl="0" w:tentative="0">
      <w:start w:val="1"/>
      <w:numFmt w:val="upperLetter"/>
      <w:suff w:val="space"/>
      <w:lvlText w:val="%1"/>
      <w:lvlJc w:val="left"/>
      <w:pPr>
        <w:ind w:left="623" w:hanging="425"/>
      </w:pPr>
      <w:rPr>
        <w:rFonts w:hint="eastAsia" w:cs="Times New Roman"/>
      </w:rPr>
    </w:lvl>
    <w:lvl w:ilvl="1" w:tentative="0">
      <w:start w:val="1"/>
      <w:numFmt w:val="decimal"/>
      <w:pStyle w:val="271"/>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7">
    <w:nsid w:val="2C5917C3"/>
    <w:multiLevelType w:val="multilevel"/>
    <w:tmpl w:val="2C5917C3"/>
    <w:lvl w:ilvl="0" w:tentative="0">
      <w:start w:val="1"/>
      <w:numFmt w:val="none"/>
      <w:pStyle w:val="14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7"/>
      <w:lvlText w:val=""/>
      <w:lvlJc w:val="left"/>
      <w:pPr>
        <w:ind w:left="851" w:hanging="431"/>
      </w:pPr>
      <w:rPr>
        <w:rFonts w:hint="default" w:ascii="Symbol" w:hAnsi="Symbol"/>
        <w:sz w:val="21"/>
      </w:rPr>
    </w:lvl>
    <w:lvl w:ilvl="2" w:tentative="0">
      <w:start w:val="1"/>
      <w:numFmt w:val="bullet"/>
      <w:pStyle w:val="18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8">
    <w:nsid w:val="32F04FB2"/>
    <w:multiLevelType w:val="multilevel"/>
    <w:tmpl w:val="32F04FB2"/>
    <w:lvl w:ilvl="0" w:tentative="0">
      <w:start w:val="1"/>
      <w:numFmt w:val="lowerLetter"/>
      <w:pStyle w:val="11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9">
    <w:nsid w:val="38315AD7"/>
    <w:multiLevelType w:val="singleLevel"/>
    <w:tmpl w:val="38315AD7"/>
    <w:lvl w:ilvl="0" w:tentative="0">
      <w:start w:val="1"/>
      <w:numFmt w:val="lowerLetter"/>
      <w:suff w:val="space"/>
      <w:lvlText w:val="%1)"/>
      <w:lvlJc w:val="left"/>
      <w:pPr>
        <w:ind w:left="726" w:leftChars="0" w:hanging="306" w:firstLineChars="0"/>
      </w:pPr>
      <w:rPr>
        <w:rFonts w:hint="default"/>
        <w:sz w:val="21"/>
        <w:szCs w:val="21"/>
      </w:rPr>
    </w:lvl>
  </w:abstractNum>
  <w:abstractNum w:abstractNumId="40">
    <w:nsid w:val="390B1E53"/>
    <w:multiLevelType w:val="singleLevel"/>
    <w:tmpl w:val="390B1E53"/>
    <w:lvl w:ilvl="0" w:tentative="0">
      <w:start w:val="1"/>
      <w:numFmt w:val="lowerLetter"/>
      <w:suff w:val="space"/>
      <w:lvlText w:val="%1)"/>
      <w:lvlJc w:val="left"/>
      <w:pPr>
        <w:ind w:left="726" w:leftChars="0" w:hanging="306" w:firstLineChars="0"/>
      </w:pPr>
      <w:rPr>
        <w:rFonts w:hint="default"/>
        <w:sz w:val="21"/>
        <w:szCs w:val="21"/>
      </w:rPr>
    </w:lvl>
  </w:abstractNum>
  <w:abstractNum w:abstractNumId="41">
    <w:nsid w:val="3A981D14"/>
    <w:multiLevelType w:val="singleLevel"/>
    <w:tmpl w:val="3A981D14"/>
    <w:lvl w:ilvl="0" w:tentative="0">
      <w:start w:val="1"/>
      <w:numFmt w:val="lowerLetter"/>
      <w:suff w:val="space"/>
      <w:lvlText w:val="%1)"/>
      <w:lvlJc w:val="left"/>
      <w:pPr>
        <w:ind w:left="726" w:leftChars="0" w:hanging="306" w:firstLineChars="0"/>
      </w:pPr>
      <w:rPr>
        <w:rFonts w:hint="default"/>
        <w:sz w:val="21"/>
        <w:szCs w:val="21"/>
      </w:rPr>
    </w:lvl>
  </w:abstractNum>
  <w:abstractNum w:abstractNumId="42">
    <w:nsid w:val="3F160FF5"/>
    <w:multiLevelType w:val="singleLevel"/>
    <w:tmpl w:val="3F160FF5"/>
    <w:lvl w:ilvl="0" w:tentative="0">
      <w:start w:val="1"/>
      <w:numFmt w:val="lowerLetter"/>
      <w:suff w:val="space"/>
      <w:lvlText w:val="%1)"/>
      <w:lvlJc w:val="left"/>
      <w:pPr>
        <w:ind w:left="726" w:leftChars="0" w:hanging="306" w:firstLineChars="0"/>
      </w:pPr>
      <w:rPr>
        <w:rFonts w:hint="default"/>
        <w:sz w:val="21"/>
        <w:szCs w:val="21"/>
      </w:rPr>
    </w:lvl>
  </w:abstractNum>
  <w:abstractNum w:abstractNumId="43">
    <w:nsid w:val="44C50F90"/>
    <w:multiLevelType w:val="multilevel"/>
    <w:tmpl w:val="44C50F90"/>
    <w:lvl w:ilvl="0" w:tentative="0">
      <w:start w:val="1"/>
      <w:numFmt w:val="lowerLetter"/>
      <w:pStyle w:val="184"/>
      <w:lvlText w:val="%1)"/>
      <w:lvlJc w:val="left"/>
      <w:pPr>
        <w:tabs>
          <w:tab w:val="left" w:pos="851"/>
        </w:tabs>
        <w:ind w:left="851" w:hanging="426"/>
      </w:pPr>
      <w:rPr>
        <w:rFonts w:hint="eastAsia" w:ascii="宋体" w:hAnsi="Times New Roman" w:eastAsia="宋体"/>
        <w:sz w:val="21"/>
      </w:rPr>
    </w:lvl>
    <w:lvl w:ilvl="1" w:tentative="0">
      <w:start w:val="1"/>
      <w:numFmt w:val="decimal"/>
      <w:pStyle w:val="119"/>
      <w:lvlText w:val="%2)"/>
      <w:lvlJc w:val="left"/>
      <w:pPr>
        <w:tabs>
          <w:tab w:val="left" w:pos="1276"/>
        </w:tabs>
        <w:ind w:left="1276" w:hanging="425"/>
      </w:pPr>
      <w:rPr>
        <w:rFonts w:hint="eastAsia" w:ascii="宋体" w:hAnsi="Times New Roman" w:eastAsia="宋体"/>
        <w:sz w:val="21"/>
      </w:rPr>
    </w:lvl>
    <w:lvl w:ilvl="2" w:tentative="0">
      <w:start w:val="1"/>
      <w:numFmt w:val="decimal"/>
      <w:pStyle w:val="12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4">
    <w:nsid w:val="47A8A70E"/>
    <w:multiLevelType w:val="singleLevel"/>
    <w:tmpl w:val="47A8A70E"/>
    <w:lvl w:ilvl="0" w:tentative="0">
      <w:start w:val="1"/>
      <w:numFmt w:val="lowerLetter"/>
      <w:suff w:val="space"/>
      <w:lvlText w:val="%1)"/>
      <w:lvlJc w:val="left"/>
      <w:pPr>
        <w:ind w:left="726" w:leftChars="0" w:hanging="306" w:firstLineChars="0"/>
      </w:pPr>
      <w:rPr>
        <w:rFonts w:hint="default"/>
        <w:sz w:val="21"/>
        <w:szCs w:val="21"/>
      </w:rPr>
    </w:lvl>
  </w:abstractNum>
  <w:abstractNum w:abstractNumId="45">
    <w:nsid w:val="48802D1C"/>
    <w:multiLevelType w:val="multilevel"/>
    <w:tmpl w:val="48802D1C"/>
    <w:lvl w:ilvl="0" w:tentative="0">
      <w:start w:val="1"/>
      <w:numFmt w:val="upperLetter"/>
      <w:pStyle w:val="208"/>
      <w:lvlText w:val="%1"/>
      <w:lvlJc w:val="left"/>
      <w:pPr>
        <w:ind w:left="420" w:hanging="420"/>
      </w:pPr>
      <w:rPr>
        <w:rFonts w:hint="eastAsia"/>
      </w:rPr>
    </w:lvl>
    <w:lvl w:ilvl="1" w:tentative="0">
      <w:start w:val="1"/>
      <w:numFmt w:val="decimal"/>
      <w:pStyle w:val="9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6">
    <w:nsid w:val="4B733A5F"/>
    <w:multiLevelType w:val="multilevel"/>
    <w:tmpl w:val="4B733A5F"/>
    <w:lvl w:ilvl="0" w:tentative="0">
      <w:start w:val="1"/>
      <w:numFmt w:val="decimal"/>
      <w:pStyle w:val="19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7">
    <w:nsid w:val="4E5D0534"/>
    <w:multiLevelType w:val="multilevel"/>
    <w:tmpl w:val="4E5D0534"/>
    <w:lvl w:ilvl="0" w:tentative="0">
      <w:start w:val="1"/>
      <w:numFmt w:val="decimal"/>
      <w:pStyle w:val="12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8">
    <w:nsid w:val="4FAA585E"/>
    <w:multiLevelType w:val="singleLevel"/>
    <w:tmpl w:val="4FAA585E"/>
    <w:lvl w:ilvl="0" w:tentative="0">
      <w:start w:val="1"/>
      <w:numFmt w:val="lowerLetter"/>
      <w:suff w:val="space"/>
      <w:lvlText w:val="%1)"/>
      <w:lvlJc w:val="left"/>
      <w:pPr>
        <w:ind w:left="726" w:leftChars="0" w:hanging="306" w:firstLineChars="0"/>
      </w:pPr>
      <w:rPr>
        <w:rFonts w:hint="default"/>
        <w:sz w:val="21"/>
        <w:szCs w:val="21"/>
      </w:rPr>
    </w:lvl>
  </w:abstractNum>
  <w:abstractNum w:abstractNumId="49">
    <w:nsid w:val="54632751"/>
    <w:multiLevelType w:val="multilevel"/>
    <w:tmpl w:val="54632751"/>
    <w:lvl w:ilvl="0" w:tentative="0">
      <w:start w:val="1"/>
      <w:numFmt w:val="none"/>
      <w:pStyle w:val="10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50">
    <w:nsid w:val="557C2AF5"/>
    <w:multiLevelType w:val="multilevel"/>
    <w:tmpl w:val="557C2AF5"/>
    <w:lvl w:ilvl="0" w:tentative="0">
      <w:start w:val="1"/>
      <w:numFmt w:val="decimal"/>
      <w:pStyle w:val="12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51">
    <w:nsid w:val="5603797C"/>
    <w:multiLevelType w:val="multilevel"/>
    <w:tmpl w:val="5603797C"/>
    <w:lvl w:ilvl="0" w:tentative="0">
      <w:start w:val="1"/>
      <w:numFmt w:val="upperLetter"/>
      <w:pStyle w:val="209"/>
      <w:suff w:val="space"/>
      <w:lvlText w:val="%1"/>
      <w:lvlJc w:val="left"/>
      <w:pPr>
        <w:ind w:left="425" w:hanging="425"/>
      </w:pPr>
      <w:rPr>
        <w:rFonts w:hint="eastAsia"/>
      </w:rPr>
    </w:lvl>
    <w:lvl w:ilvl="1" w:tentative="0">
      <w:start w:val="1"/>
      <w:numFmt w:val="decimal"/>
      <w:pStyle w:val="87"/>
      <w:suff w:val="space"/>
      <w:lvlText w:val="表%1.%2"/>
      <w:lvlJc w:val="center"/>
      <w:pPr>
        <w:ind w:left="0" w:firstLine="0"/>
      </w:pPr>
      <w:rPr>
        <w:rFonts w:hint="eastAsia" w:ascii="黑体" w:eastAsia="黑体"/>
        <w:sz w:val="21"/>
        <w:lang w:val="en-US"/>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2">
    <w:nsid w:val="564D2089"/>
    <w:multiLevelType w:val="multilevel"/>
    <w:tmpl w:val="564D2089"/>
    <w:lvl w:ilvl="0" w:tentative="0">
      <w:start w:val="1"/>
      <w:numFmt w:val="none"/>
      <w:pStyle w:val="12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3">
    <w:nsid w:val="5871E942"/>
    <w:multiLevelType w:val="singleLevel"/>
    <w:tmpl w:val="5871E942"/>
    <w:lvl w:ilvl="0" w:tentative="0">
      <w:start w:val="1"/>
      <w:numFmt w:val="lowerLetter"/>
      <w:suff w:val="space"/>
      <w:lvlText w:val="%1)"/>
      <w:lvlJc w:val="left"/>
      <w:pPr>
        <w:ind w:left="726" w:leftChars="0" w:hanging="306" w:firstLineChars="0"/>
      </w:pPr>
      <w:rPr>
        <w:rFonts w:hint="default"/>
        <w:sz w:val="21"/>
        <w:szCs w:val="21"/>
      </w:rPr>
    </w:lvl>
  </w:abstractNum>
  <w:abstractNum w:abstractNumId="54">
    <w:nsid w:val="5C4B885C"/>
    <w:multiLevelType w:val="singleLevel"/>
    <w:tmpl w:val="5C4B885C"/>
    <w:lvl w:ilvl="0" w:tentative="0">
      <w:start w:val="1"/>
      <w:numFmt w:val="lowerLetter"/>
      <w:suff w:val="space"/>
      <w:lvlText w:val="%1)"/>
      <w:lvlJc w:val="left"/>
      <w:pPr>
        <w:ind w:left="726" w:leftChars="0" w:hanging="306" w:firstLineChars="0"/>
      </w:pPr>
      <w:rPr>
        <w:rFonts w:hint="default"/>
        <w:sz w:val="21"/>
        <w:szCs w:val="21"/>
      </w:rPr>
    </w:lvl>
  </w:abstractNum>
  <w:abstractNum w:abstractNumId="55">
    <w:nsid w:val="6052B954"/>
    <w:multiLevelType w:val="multilevel"/>
    <w:tmpl w:val="6052B954"/>
    <w:lvl w:ilvl="0" w:tentative="0">
      <w:start w:val="1"/>
      <w:numFmt w:val="decimal"/>
      <w:pStyle w:val="269"/>
      <w:suff w:val="nothing"/>
      <w:lvlText w:val="图%1　"/>
      <w:lvlJc w:val="left"/>
      <w:pPr>
        <w:tabs>
          <w:tab w:val="left" w:pos="0"/>
        </w:tabs>
        <w:ind w:left="0" w:firstLine="0"/>
      </w:pPr>
      <w:rPr>
        <w:rFonts w:hint="default"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6">
    <w:nsid w:val="619CE56E"/>
    <w:multiLevelType w:val="singleLevel"/>
    <w:tmpl w:val="619CE56E"/>
    <w:lvl w:ilvl="0" w:tentative="0">
      <w:start w:val="1"/>
      <w:numFmt w:val="lowerLetter"/>
      <w:suff w:val="space"/>
      <w:lvlText w:val="%1)"/>
      <w:lvlJc w:val="left"/>
      <w:pPr>
        <w:ind w:left="726" w:leftChars="0" w:hanging="306" w:firstLineChars="0"/>
      </w:pPr>
      <w:rPr>
        <w:rFonts w:hint="default"/>
        <w:sz w:val="21"/>
        <w:szCs w:val="21"/>
      </w:rPr>
    </w:lvl>
  </w:abstractNum>
  <w:abstractNum w:abstractNumId="57">
    <w:nsid w:val="644622F9"/>
    <w:multiLevelType w:val="multilevel"/>
    <w:tmpl w:val="644622F9"/>
    <w:lvl w:ilvl="0" w:tentative="0">
      <w:start w:val="1"/>
      <w:numFmt w:val="upperRoman"/>
      <w:pStyle w:val="17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58">
    <w:nsid w:val="646260FA"/>
    <w:multiLevelType w:val="multilevel"/>
    <w:tmpl w:val="646260FA"/>
    <w:lvl w:ilvl="0" w:tentative="0">
      <w:start w:val="1"/>
      <w:numFmt w:val="decimal"/>
      <w:pStyle w:val="270"/>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9">
    <w:nsid w:val="654A26C9"/>
    <w:multiLevelType w:val="multilevel"/>
    <w:tmpl w:val="654A26C9"/>
    <w:lvl w:ilvl="0" w:tentative="0">
      <w:start w:val="1"/>
      <w:numFmt w:val="none"/>
      <w:pStyle w:val="19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60">
    <w:nsid w:val="657D3FBC"/>
    <w:multiLevelType w:val="multilevel"/>
    <w:tmpl w:val="657D3FBC"/>
    <w:lvl w:ilvl="0" w:tentative="0">
      <w:start w:val="1"/>
      <w:numFmt w:val="upperLetter"/>
      <w:pStyle w:val="86"/>
      <w:suff w:val="nothing"/>
      <w:lvlText w:val="附录%1"/>
      <w:lvlJc w:val="left"/>
      <w:pPr>
        <w:ind w:left="0" w:firstLine="0"/>
      </w:pPr>
      <w:rPr>
        <w:rFonts w:hint="eastAsia"/>
        <w:spacing w:val="100"/>
      </w:rPr>
    </w:lvl>
    <w:lvl w:ilvl="1" w:tentative="0">
      <w:start w:val="1"/>
      <w:numFmt w:val="decimal"/>
      <w:pStyle w:val="88"/>
      <w:suff w:val="nothing"/>
      <w:lvlText w:val="%1.%2　"/>
      <w:lvlJc w:val="left"/>
      <w:pPr>
        <w:ind w:left="0" w:firstLine="0"/>
      </w:pPr>
      <w:rPr>
        <w:rFonts w:hint="eastAsia" w:ascii="黑体" w:eastAsia="黑体"/>
        <w:b w:val="0"/>
        <w:i w:val="0"/>
        <w:sz w:val="21"/>
      </w:rPr>
    </w:lvl>
    <w:lvl w:ilvl="2" w:tentative="0">
      <w:start w:val="1"/>
      <w:numFmt w:val="decimal"/>
      <w:pStyle w:val="89"/>
      <w:suff w:val="nothing"/>
      <w:lvlText w:val="%1.%2.%3　"/>
      <w:lvlJc w:val="left"/>
      <w:pPr>
        <w:ind w:left="0" w:firstLine="0"/>
      </w:pPr>
      <w:rPr>
        <w:rFonts w:hint="eastAsia" w:ascii="黑体" w:eastAsia="黑体"/>
        <w:b w:val="0"/>
        <w:i w:val="0"/>
        <w:sz w:val="21"/>
      </w:rPr>
    </w:lvl>
    <w:lvl w:ilvl="3" w:tentative="0">
      <w:start w:val="1"/>
      <w:numFmt w:val="decimal"/>
      <w:pStyle w:val="91"/>
      <w:suff w:val="nothing"/>
      <w:lvlText w:val="%1.%2.%3.%4　"/>
      <w:lvlJc w:val="left"/>
      <w:pPr>
        <w:ind w:left="0" w:firstLine="0"/>
      </w:pPr>
      <w:rPr>
        <w:rFonts w:hint="eastAsia" w:ascii="黑体" w:eastAsia="黑体"/>
        <w:b w:val="0"/>
        <w:i w:val="0"/>
        <w:sz w:val="21"/>
      </w:rPr>
    </w:lvl>
    <w:lvl w:ilvl="4" w:tentative="0">
      <w:start w:val="1"/>
      <w:numFmt w:val="decimal"/>
      <w:pStyle w:val="92"/>
      <w:suff w:val="nothing"/>
      <w:lvlText w:val="%1.%2.%3.%4.%5　"/>
      <w:lvlJc w:val="left"/>
      <w:pPr>
        <w:ind w:left="0" w:firstLine="0"/>
      </w:pPr>
      <w:rPr>
        <w:rFonts w:hint="eastAsia" w:ascii="黑体" w:eastAsia="黑体"/>
        <w:b w:val="0"/>
        <w:i w:val="0"/>
        <w:sz w:val="21"/>
      </w:rPr>
    </w:lvl>
    <w:lvl w:ilvl="5" w:tentative="0">
      <w:start w:val="1"/>
      <w:numFmt w:val="decimal"/>
      <w:pStyle w:val="9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1">
    <w:nsid w:val="69506ABF"/>
    <w:multiLevelType w:val="multilevel"/>
    <w:tmpl w:val="69506ABF"/>
    <w:lvl w:ilvl="0" w:tentative="0">
      <w:start w:val="1"/>
      <w:numFmt w:val="bullet"/>
      <w:pStyle w:val="19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62">
    <w:nsid w:val="6CA41985"/>
    <w:multiLevelType w:val="multilevel"/>
    <w:tmpl w:val="6CA41985"/>
    <w:lvl w:ilvl="0" w:tentative="0">
      <w:start w:val="1"/>
      <w:numFmt w:val="decimal"/>
      <w:pStyle w:val="10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3">
    <w:nsid w:val="6CB34BBD"/>
    <w:multiLevelType w:val="singleLevel"/>
    <w:tmpl w:val="6CB34BBD"/>
    <w:lvl w:ilvl="0" w:tentative="0">
      <w:start w:val="1"/>
      <w:numFmt w:val="decimal"/>
      <w:suff w:val="space"/>
      <w:lvlText w:val="%1）"/>
      <w:lvlJc w:val="left"/>
      <w:pPr>
        <w:ind w:left="1147" w:leftChars="0" w:hanging="421" w:firstLineChars="0"/>
      </w:pPr>
      <w:rPr>
        <w:rFonts w:hint="default"/>
        <w:sz w:val="21"/>
        <w:szCs w:val="21"/>
      </w:rPr>
    </w:lvl>
  </w:abstractNum>
  <w:abstractNum w:abstractNumId="64">
    <w:nsid w:val="6CE42AC1"/>
    <w:multiLevelType w:val="multilevel"/>
    <w:tmpl w:val="6CE42AC1"/>
    <w:lvl w:ilvl="0" w:tentative="0">
      <w:start w:val="1"/>
      <w:numFmt w:val="lowerLetter"/>
      <w:pStyle w:val="18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6CEA2025"/>
    <w:multiLevelType w:val="multilevel"/>
    <w:tmpl w:val="6CEA2025"/>
    <w:lvl w:ilvl="0" w:tentative="0">
      <w:start w:val="1"/>
      <w:numFmt w:val="none"/>
      <w:pStyle w:val="162"/>
      <w:suff w:val="nothing"/>
      <w:lvlText w:val="%1"/>
      <w:lvlJc w:val="left"/>
      <w:pPr>
        <w:ind w:left="0" w:firstLine="0"/>
      </w:pPr>
      <w:rPr>
        <w:rFonts w:hint="eastAsia"/>
      </w:rPr>
    </w:lvl>
    <w:lvl w:ilvl="1" w:tentative="0">
      <w:start w:val="1"/>
      <w:numFmt w:val="decimal"/>
      <w:pStyle w:val="114"/>
      <w:suff w:val="nothing"/>
      <w:lvlText w:val="%1%2　"/>
      <w:lvlJc w:val="left"/>
      <w:pPr>
        <w:ind w:left="142" w:firstLine="0"/>
      </w:pPr>
      <w:rPr>
        <w:rFonts w:hint="eastAsia" w:ascii="黑体" w:eastAsia="黑体"/>
        <w:b w:val="0"/>
        <w:i w:val="0"/>
        <w:sz w:val="21"/>
      </w:rPr>
    </w:lvl>
    <w:lvl w:ilvl="2" w:tentative="0">
      <w:start w:val="1"/>
      <w:numFmt w:val="decimal"/>
      <w:pStyle w:val="11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5"/>
      <w:suff w:val="nothing"/>
      <w:lvlText w:val="%1%2.%3.%4　"/>
      <w:lvlJc w:val="left"/>
      <w:pPr>
        <w:ind w:left="0" w:firstLine="0"/>
      </w:pPr>
      <w:rPr>
        <w:rFonts w:hint="eastAsia" w:ascii="黑体" w:eastAsia="黑体"/>
        <w:b w:val="0"/>
        <w:i w:val="0"/>
        <w:sz w:val="21"/>
      </w:rPr>
    </w:lvl>
    <w:lvl w:ilvl="4" w:tentative="0">
      <w:start w:val="1"/>
      <w:numFmt w:val="decimal"/>
      <w:pStyle w:val="104"/>
      <w:suff w:val="nothing"/>
      <w:lvlText w:val="%1%2.%3.%4.%5　"/>
      <w:lvlJc w:val="left"/>
      <w:pPr>
        <w:ind w:left="709" w:firstLine="0"/>
      </w:pPr>
      <w:rPr>
        <w:rFonts w:hint="eastAsia" w:ascii="黑体" w:eastAsia="黑体"/>
        <w:b w:val="0"/>
        <w:i w:val="0"/>
        <w:color w:val="auto"/>
        <w:sz w:val="21"/>
      </w:rPr>
    </w:lvl>
    <w:lvl w:ilvl="5" w:tentative="0">
      <w:start w:val="1"/>
      <w:numFmt w:val="decimal"/>
      <w:pStyle w:val="108"/>
      <w:suff w:val="nothing"/>
      <w:lvlText w:val="%1%2.%3.%4.%5.%6　"/>
      <w:lvlJc w:val="left"/>
      <w:pPr>
        <w:ind w:left="0" w:firstLine="0"/>
      </w:pPr>
      <w:rPr>
        <w:rFonts w:hint="eastAsia" w:ascii="黑体" w:eastAsia="黑体"/>
        <w:b w:val="0"/>
        <w:i w:val="0"/>
        <w:sz w:val="21"/>
      </w:rPr>
    </w:lvl>
    <w:lvl w:ilvl="6" w:tentative="0">
      <w:start w:val="1"/>
      <w:numFmt w:val="decimal"/>
      <w:pStyle w:val="11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6">
    <w:nsid w:val="6DBF04F4"/>
    <w:multiLevelType w:val="multilevel"/>
    <w:tmpl w:val="6DBF04F4"/>
    <w:lvl w:ilvl="0" w:tentative="0">
      <w:start w:val="1"/>
      <w:numFmt w:val="none"/>
      <w:pStyle w:val="18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67">
    <w:nsid w:val="6DF35F19"/>
    <w:multiLevelType w:val="multilevel"/>
    <w:tmpl w:val="6DF35F19"/>
    <w:lvl w:ilvl="0" w:tentative="0">
      <w:start w:val="1"/>
      <w:numFmt w:val="decimal"/>
      <w:pStyle w:val="12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68">
    <w:nsid w:val="6E191CCE"/>
    <w:multiLevelType w:val="singleLevel"/>
    <w:tmpl w:val="6E191CCE"/>
    <w:lvl w:ilvl="0" w:tentative="0">
      <w:start w:val="1"/>
      <w:numFmt w:val="lowerLetter"/>
      <w:suff w:val="space"/>
      <w:lvlText w:val="%1)"/>
      <w:lvlJc w:val="left"/>
      <w:pPr>
        <w:ind w:left="726" w:leftChars="0" w:hanging="306" w:firstLineChars="0"/>
      </w:pPr>
      <w:rPr>
        <w:rFonts w:hint="default"/>
        <w:sz w:val="21"/>
        <w:szCs w:val="21"/>
      </w:rPr>
    </w:lvl>
  </w:abstractNum>
  <w:abstractNum w:abstractNumId="69">
    <w:nsid w:val="72B5B001"/>
    <w:multiLevelType w:val="singleLevel"/>
    <w:tmpl w:val="72B5B001"/>
    <w:lvl w:ilvl="0" w:tentative="0">
      <w:start w:val="1"/>
      <w:numFmt w:val="lowerLetter"/>
      <w:suff w:val="space"/>
      <w:lvlText w:val="%1)"/>
      <w:lvlJc w:val="left"/>
      <w:pPr>
        <w:ind w:left="726" w:leftChars="0" w:hanging="306" w:firstLineChars="0"/>
      </w:pPr>
      <w:rPr>
        <w:rFonts w:hint="default"/>
        <w:sz w:val="21"/>
        <w:szCs w:val="21"/>
      </w:rPr>
    </w:lvl>
  </w:abstractNum>
  <w:abstractNum w:abstractNumId="70">
    <w:nsid w:val="75C268C5"/>
    <w:multiLevelType w:val="multilevel"/>
    <w:tmpl w:val="75C268C5"/>
    <w:lvl w:ilvl="0" w:tentative="0">
      <w:start w:val="99"/>
      <w:numFmt w:val="decimalZero"/>
      <w:pStyle w:val="244"/>
      <w:lvlText w:val="9%10"/>
      <w:lvlJc w:val="left"/>
      <w:pPr>
        <w:ind w:left="420" w:hanging="420"/>
      </w:pPr>
      <w:rPr>
        <w:rFonts w:hint="eastAsia"/>
      </w:rPr>
    </w:lvl>
    <w:lvl w:ilvl="1" w:tentative="0">
      <w:start w:val="1"/>
      <w:numFmt w:val="lowerLetter"/>
      <w:pStyle w:val="246"/>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1">
    <w:nsid w:val="76933334"/>
    <w:multiLevelType w:val="multilevel"/>
    <w:tmpl w:val="76933334"/>
    <w:lvl w:ilvl="0" w:tentative="0">
      <w:start w:val="1"/>
      <w:numFmt w:val="none"/>
      <w:pStyle w:val="14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2">
    <w:nsid w:val="791049FF"/>
    <w:multiLevelType w:val="singleLevel"/>
    <w:tmpl w:val="791049FF"/>
    <w:lvl w:ilvl="0" w:tentative="0">
      <w:start w:val="1"/>
      <w:numFmt w:val="lowerLetter"/>
      <w:suff w:val="space"/>
      <w:lvlText w:val="%1)"/>
      <w:lvlJc w:val="left"/>
      <w:pPr>
        <w:ind w:left="726" w:leftChars="0" w:hanging="306" w:firstLineChars="0"/>
      </w:pPr>
      <w:rPr>
        <w:rFonts w:hint="default"/>
        <w:sz w:val="21"/>
        <w:szCs w:val="21"/>
      </w:rPr>
    </w:lvl>
  </w:abstractNum>
  <w:abstractNum w:abstractNumId="73">
    <w:nsid w:val="7DC820B2"/>
    <w:multiLevelType w:val="singleLevel"/>
    <w:tmpl w:val="7DC820B2"/>
    <w:lvl w:ilvl="0" w:tentative="0">
      <w:start w:val="1"/>
      <w:numFmt w:val="lowerLetter"/>
      <w:suff w:val="space"/>
      <w:lvlText w:val="%1)"/>
      <w:lvlJc w:val="left"/>
      <w:pPr>
        <w:ind w:left="726" w:leftChars="0" w:hanging="306" w:firstLineChars="0"/>
      </w:pPr>
      <w:rPr>
        <w:rFonts w:hint="default"/>
        <w:sz w:val="21"/>
        <w:szCs w:val="21"/>
      </w:rPr>
    </w:lvl>
  </w:abstractNum>
  <w:abstractNum w:abstractNumId="74">
    <w:nsid w:val="7FEBF0CE"/>
    <w:multiLevelType w:val="singleLevel"/>
    <w:tmpl w:val="7FEBF0CE"/>
    <w:lvl w:ilvl="0" w:tentative="0">
      <w:start w:val="1"/>
      <w:numFmt w:val="lowerLetter"/>
      <w:suff w:val="space"/>
      <w:lvlText w:val="%1)"/>
      <w:lvlJc w:val="left"/>
      <w:pPr>
        <w:ind w:left="726" w:leftChars="0" w:hanging="306" w:firstLineChars="0"/>
      </w:pPr>
      <w:rPr>
        <w:rFonts w:hint="default"/>
        <w:sz w:val="21"/>
        <w:szCs w:val="21"/>
      </w:rPr>
    </w:lvl>
  </w:abstractNum>
  <w:num w:numId="1">
    <w:abstractNumId w:val="35"/>
  </w:num>
  <w:num w:numId="2">
    <w:abstractNumId w:val="23"/>
  </w:num>
  <w:num w:numId="3">
    <w:abstractNumId w:val="65"/>
  </w:num>
  <w:num w:numId="4">
    <w:abstractNumId w:val="28"/>
  </w:num>
  <w:num w:numId="5">
    <w:abstractNumId w:val="60"/>
  </w:num>
  <w:num w:numId="6">
    <w:abstractNumId w:val="51"/>
  </w:num>
  <w:num w:numId="7">
    <w:abstractNumId w:val="45"/>
  </w:num>
  <w:num w:numId="8">
    <w:abstractNumId w:val="33"/>
  </w:num>
  <w:num w:numId="9">
    <w:abstractNumId w:val="26"/>
  </w:num>
  <w:num w:numId="10">
    <w:abstractNumId w:val="34"/>
  </w:num>
  <w:num w:numId="11">
    <w:abstractNumId w:val="49"/>
  </w:num>
  <w:num w:numId="12">
    <w:abstractNumId w:val="62"/>
  </w:num>
  <w:num w:numId="13">
    <w:abstractNumId w:val="38"/>
  </w:num>
  <w:num w:numId="14">
    <w:abstractNumId w:val="43"/>
  </w:num>
  <w:num w:numId="15">
    <w:abstractNumId w:val="32"/>
  </w:num>
  <w:num w:numId="16">
    <w:abstractNumId w:val="52"/>
  </w:num>
  <w:num w:numId="17">
    <w:abstractNumId w:val="50"/>
  </w:num>
  <w:num w:numId="18">
    <w:abstractNumId w:val="67"/>
  </w:num>
  <w:num w:numId="19">
    <w:abstractNumId w:val="47"/>
  </w:num>
  <w:num w:numId="20">
    <w:abstractNumId w:val="24"/>
  </w:num>
  <w:num w:numId="21">
    <w:abstractNumId w:val="37"/>
  </w:num>
  <w:num w:numId="22">
    <w:abstractNumId w:val="71"/>
  </w:num>
  <w:num w:numId="23">
    <w:abstractNumId w:val="57"/>
  </w:num>
  <w:num w:numId="24">
    <w:abstractNumId w:val="29"/>
  </w:num>
  <w:num w:numId="25">
    <w:abstractNumId w:val="64"/>
  </w:num>
  <w:num w:numId="26">
    <w:abstractNumId w:val="66"/>
  </w:num>
  <w:num w:numId="27">
    <w:abstractNumId w:val="25"/>
  </w:num>
  <w:num w:numId="28">
    <w:abstractNumId w:val="27"/>
  </w:num>
  <w:num w:numId="29">
    <w:abstractNumId w:val="46"/>
  </w:num>
  <w:num w:numId="30">
    <w:abstractNumId w:val="61"/>
  </w:num>
  <w:num w:numId="31">
    <w:abstractNumId w:val="59"/>
  </w:num>
  <w:num w:numId="32">
    <w:abstractNumId w:val="70"/>
  </w:num>
  <w:num w:numId="33">
    <w:abstractNumId w:val="7"/>
  </w:num>
  <w:num w:numId="34">
    <w:abstractNumId w:val="55"/>
  </w:num>
  <w:num w:numId="35">
    <w:abstractNumId w:val="58"/>
  </w:num>
  <w:num w:numId="36">
    <w:abstractNumId w:val="36"/>
  </w:num>
  <w:num w:numId="37">
    <w:abstractNumId w:val="53"/>
  </w:num>
  <w:num w:numId="38">
    <w:abstractNumId w:val="9"/>
  </w:num>
  <w:num w:numId="39">
    <w:abstractNumId w:val="3"/>
  </w:num>
  <w:num w:numId="40">
    <w:abstractNumId w:val="6"/>
  </w:num>
  <w:num w:numId="41">
    <w:abstractNumId w:val="18"/>
  </w:num>
  <w:num w:numId="42">
    <w:abstractNumId w:val="39"/>
  </w:num>
  <w:num w:numId="43">
    <w:abstractNumId w:val="40"/>
  </w:num>
  <w:num w:numId="44">
    <w:abstractNumId w:val="56"/>
  </w:num>
  <w:num w:numId="45">
    <w:abstractNumId w:val="19"/>
  </w:num>
  <w:num w:numId="46">
    <w:abstractNumId w:val="31"/>
  </w:num>
  <w:num w:numId="47">
    <w:abstractNumId w:val="48"/>
  </w:num>
  <w:num w:numId="48">
    <w:abstractNumId w:val="63"/>
  </w:num>
  <w:num w:numId="49">
    <w:abstractNumId w:val="4"/>
  </w:num>
  <w:num w:numId="50">
    <w:abstractNumId w:val="44"/>
  </w:num>
  <w:num w:numId="51">
    <w:abstractNumId w:val="2"/>
  </w:num>
  <w:num w:numId="52">
    <w:abstractNumId w:val="42"/>
  </w:num>
  <w:num w:numId="53">
    <w:abstractNumId w:val="14"/>
  </w:num>
  <w:num w:numId="54">
    <w:abstractNumId w:val="68"/>
  </w:num>
  <w:num w:numId="55">
    <w:abstractNumId w:val="30"/>
  </w:num>
  <w:num w:numId="56">
    <w:abstractNumId w:val="20"/>
  </w:num>
  <w:num w:numId="57">
    <w:abstractNumId w:val="41"/>
  </w:num>
  <w:num w:numId="58">
    <w:abstractNumId w:val="69"/>
  </w:num>
  <w:num w:numId="59">
    <w:abstractNumId w:val="0"/>
  </w:num>
  <w:num w:numId="60">
    <w:abstractNumId w:val="72"/>
  </w:num>
  <w:num w:numId="61">
    <w:abstractNumId w:val="74"/>
  </w:num>
  <w:num w:numId="62">
    <w:abstractNumId w:val="10"/>
  </w:num>
  <w:num w:numId="63">
    <w:abstractNumId w:val="15"/>
  </w:num>
  <w:num w:numId="64">
    <w:abstractNumId w:val="73"/>
  </w:num>
  <w:num w:numId="65">
    <w:abstractNumId w:val="5"/>
  </w:num>
  <w:num w:numId="66">
    <w:abstractNumId w:val="54"/>
  </w:num>
  <w:num w:numId="67">
    <w:abstractNumId w:val="17"/>
  </w:num>
  <w:num w:numId="68">
    <w:abstractNumId w:val="11"/>
  </w:num>
  <w:num w:numId="69">
    <w:abstractNumId w:val="22"/>
  </w:num>
  <w:num w:numId="70">
    <w:abstractNumId w:val="16"/>
  </w:num>
  <w:num w:numId="71">
    <w:abstractNumId w:val="1"/>
  </w:num>
  <w:num w:numId="72">
    <w:abstractNumId w:val="12"/>
  </w:num>
  <w:num w:numId="73">
    <w:abstractNumId w:val="8"/>
  </w:num>
  <w:num w:numId="74">
    <w:abstractNumId w:val="13"/>
  </w:num>
  <w:num w:numId="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xNmYwMWVmMzFiMmVjOTIyYjg0OWJhMDY3MmJmMWEifQ=="/>
  </w:docVars>
  <w:rsids>
    <w:rsidRoot w:val="005578D9"/>
    <w:rsid w:val="0000040A"/>
    <w:rsid w:val="00000A94"/>
    <w:rsid w:val="00001972"/>
    <w:rsid w:val="00001D9A"/>
    <w:rsid w:val="00001E28"/>
    <w:rsid w:val="000044FC"/>
    <w:rsid w:val="00007B3A"/>
    <w:rsid w:val="00007D2D"/>
    <w:rsid w:val="000107E0"/>
    <w:rsid w:val="00011FDE"/>
    <w:rsid w:val="00012FFD"/>
    <w:rsid w:val="00014162"/>
    <w:rsid w:val="00014340"/>
    <w:rsid w:val="00016A9C"/>
    <w:rsid w:val="00022184"/>
    <w:rsid w:val="00022762"/>
    <w:rsid w:val="000238E0"/>
    <w:rsid w:val="000249DB"/>
    <w:rsid w:val="0002595E"/>
    <w:rsid w:val="000303C3"/>
    <w:rsid w:val="00032388"/>
    <w:rsid w:val="000331D3"/>
    <w:rsid w:val="000346A5"/>
    <w:rsid w:val="000359C3"/>
    <w:rsid w:val="00035A7D"/>
    <w:rsid w:val="000365ED"/>
    <w:rsid w:val="00036A0C"/>
    <w:rsid w:val="0004249A"/>
    <w:rsid w:val="00043282"/>
    <w:rsid w:val="00043562"/>
    <w:rsid w:val="00044286"/>
    <w:rsid w:val="00047F28"/>
    <w:rsid w:val="000503AA"/>
    <w:rsid w:val="000506A1"/>
    <w:rsid w:val="000515DD"/>
    <w:rsid w:val="0005265A"/>
    <w:rsid w:val="000539A8"/>
    <w:rsid w:val="000539DD"/>
    <w:rsid w:val="00053BD3"/>
    <w:rsid w:val="00054B21"/>
    <w:rsid w:val="000556ED"/>
    <w:rsid w:val="00055741"/>
    <w:rsid w:val="00055FE2"/>
    <w:rsid w:val="0005616F"/>
    <w:rsid w:val="00056778"/>
    <w:rsid w:val="00057F05"/>
    <w:rsid w:val="00060C12"/>
    <w:rsid w:val="00060C2E"/>
    <w:rsid w:val="00061033"/>
    <w:rsid w:val="000619E9"/>
    <w:rsid w:val="000622D4"/>
    <w:rsid w:val="0006357D"/>
    <w:rsid w:val="00067F1E"/>
    <w:rsid w:val="00071CC0"/>
    <w:rsid w:val="00073C8C"/>
    <w:rsid w:val="0007629A"/>
    <w:rsid w:val="00076C8B"/>
    <w:rsid w:val="00077B64"/>
    <w:rsid w:val="00080A1C"/>
    <w:rsid w:val="00082317"/>
    <w:rsid w:val="00083D2C"/>
    <w:rsid w:val="00084DF9"/>
    <w:rsid w:val="00084DFB"/>
    <w:rsid w:val="00085B54"/>
    <w:rsid w:val="00085FE2"/>
    <w:rsid w:val="000862F9"/>
    <w:rsid w:val="00086AA1"/>
    <w:rsid w:val="00087731"/>
    <w:rsid w:val="00087A77"/>
    <w:rsid w:val="00090CA6"/>
    <w:rsid w:val="00090F41"/>
    <w:rsid w:val="00092B8A"/>
    <w:rsid w:val="00092FB0"/>
    <w:rsid w:val="000934C5"/>
    <w:rsid w:val="00093D25"/>
    <w:rsid w:val="00093DAB"/>
    <w:rsid w:val="00094D73"/>
    <w:rsid w:val="00096D63"/>
    <w:rsid w:val="000A0B60"/>
    <w:rsid w:val="000A0EB8"/>
    <w:rsid w:val="000A19FC"/>
    <w:rsid w:val="000A296B"/>
    <w:rsid w:val="000A3DB6"/>
    <w:rsid w:val="000A7311"/>
    <w:rsid w:val="000A7FCA"/>
    <w:rsid w:val="000B060F"/>
    <w:rsid w:val="000B1042"/>
    <w:rsid w:val="000B1592"/>
    <w:rsid w:val="000B17B0"/>
    <w:rsid w:val="000B1FF2"/>
    <w:rsid w:val="000B2BFC"/>
    <w:rsid w:val="000B3CDA"/>
    <w:rsid w:val="000B6A0B"/>
    <w:rsid w:val="000B74A4"/>
    <w:rsid w:val="000C0F6C"/>
    <w:rsid w:val="000C11DB"/>
    <w:rsid w:val="000C1492"/>
    <w:rsid w:val="000C2CC4"/>
    <w:rsid w:val="000C2FBD"/>
    <w:rsid w:val="000C4B41"/>
    <w:rsid w:val="000C57D6"/>
    <w:rsid w:val="000C6362"/>
    <w:rsid w:val="000C7666"/>
    <w:rsid w:val="000D0A9C"/>
    <w:rsid w:val="000D1032"/>
    <w:rsid w:val="000D1795"/>
    <w:rsid w:val="000D329A"/>
    <w:rsid w:val="000D4B9C"/>
    <w:rsid w:val="000D4EB6"/>
    <w:rsid w:val="000D753B"/>
    <w:rsid w:val="000E3059"/>
    <w:rsid w:val="000E3097"/>
    <w:rsid w:val="000E3192"/>
    <w:rsid w:val="000E4C9E"/>
    <w:rsid w:val="000E6FD7"/>
    <w:rsid w:val="000F06E1"/>
    <w:rsid w:val="000F0E3C"/>
    <w:rsid w:val="000F19D5"/>
    <w:rsid w:val="000F4AEA"/>
    <w:rsid w:val="000F633F"/>
    <w:rsid w:val="000F67E9"/>
    <w:rsid w:val="000F7EE2"/>
    <w:rsid w:val="00103EB7"/>
    <w:rsid w:val="00104926"/>
    <w:rsid w:val="001049BD"/>
    <w:rsid w:val="00105E5F"/>
    <w:rsid w:val="00113B1E"/>
    <w:rsid w:val="00116DF8"/>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1DE9"/>
    <w:rsid w:val="001529E5"/>
    <w:rsid w:val="00153C7E"/>
    <w:rsid w:val="00156B25"/>
    <w:rsid w:val="00156E1A"/>
    <w:rsid w:val="001577FC"/>
    <w:rsid w:val="00157894"/>
    <w:rsid w:val="00157B55"/>
    <w:rsid w:val="001616BB"/>
    <w:rsid w:val="0016361E"/>
    <w:rsid w:val="001642FA"/>
    <w:rsid w:val="001649EB"/>
    <w:rsid w:val="00164BAF"/>
    <w:rsid w:val="00164FA8"/>
    <w:rsid w:val="00165065"/>
    <w:rsid w:val="00165434"/>
    <w:rsid w:val="0016580B"/>
    <w:rsid w:val="00165F49"/>
    <w:rsid w:val="001661F1"/>
    <w:rsid w:val="00166B88"/>
    <w:rsid w:val="001674DE"/>
    <w:rsid w:val="0016770A"/>
    <w:rsid w:val="00170804"/>
    <w:rsid w:val="001708E9"/>
    <w:rsid w:val="0017340B"/>
    <w:rsid w:val="00173FB1"/>
    <w:rsid w:val="00176DFD"/>
    <w:rsid w:val="001852C9"/>
    <w:rsid w:val="00190087"/>
    <w:rsid w:val="00190242"/>
    <w:rsid w:val="00190D0F"/>
    <w:rsid w:val="001913C4"/>
    <w:rsid w:val="00191F42"/>
    <w:rsid w:val="0019348F"/>
    <w:rsid w:val="00193A07"/>
    <w:rsid w:val="00194C95"/>
    <w:rsid w:val="00195C34"/>
    <w:rsid w:val="00196EF5"/>
    <w:rsid w:val="001A1A53"/>
    <w:rsid w:val="001A234A"/>
    <w:rsid w:val="001A4CF3"/>
    <w:rsid w:val="001A6AD0"/>
    <w:rsid w:val="001B06E8"/>
    <w:rsid w:val="001B4310"/>
    <w:rsid w:val="001B71D0"/>
    <w:rsid w:val="001B71EE"/>
    <w:rsid w:val="001B7246"/>
    <w:rsid w:val="001C04A8"/>
    <w:rsid w:val="001C2C03"/>
    <w:rsid w:val="001C2FA9"/>
    <w:rsid w:val="001C42F7"/>
    <w:rsid w:val="001C49E5"/>
    <w:rsid w:val="001C680C"/>
    <w:rsid w:val="001C7964"/>
    <w:rsid w:val="001C7FEA"/>
    <w:rsid w:val="001D0454"/>
    <w:rsid w:val="001D0499"/>
    <w:rsid w:val="001D0BBE"/>
    <w:rsid w:val="001D0ED4"/>
    <w:rsid w:val="001D212F"/>
    <w:rsid w:val="001D29D7"/>
    <w:rsid w:val="001D2DE7"/>
    <w:rsid w:val="001D411C"/>
    <w:rsid w:val="001D4EEA"/>
    <w:rsid w:val="001D7710"/>
    <w:rsid w:val="001E1B6A"/>
    <w:rsid w:val="001E2484"/>
    <w:rsid w:val="001E3CC4"/>
    <w:rsid w:val="001E3EC1"/>
    <w:rsid w:val="001E4882"/>
    <w:rsid w:val="001E73AB"/>
    <w:rsid w:val="001F01DD"/>
    <w:rsid w:val="001F092D"/>
    <w:rsid w:val="001F143A"/>
    <w:rsid w:val="001F1605"/>
    <w:rsid w:val="001F2508"/>
    <w:rsid w:val="001F33E5"/>
    <w:rsid w:val="001F4816"/>
    <w:rsid w:val="001F4EE9"/>
    <w:rsid w:val="001F593D"/>
    <w:rsid w:val="001F69B4"/>
    <w:rsid w:val="001F77C7"/>
    <w:rsid w:val="00200183"/>
    <w:rsid w:val="00200333"/>
    <w:rsid w:val="0020107D"/>
    <w:rsid w:val="002021F8"/>
    <w:rsid w:val="00202AA4"/>
    <w:rsid w:val="002031F7"/>
    <w:rsid w:val="002036A0"/>
    <w:rsid w:val="002040E6"/>
    <w:rsid w:val="0020464B"/>
    <w:rsid w:val="0020527B"/>
    <w:rsid w:val="00205F2C"/>
    <w:rsid w:val="00210B15"/>
    <w:rsid w:val="002142EA"/>
    <w:rsid w:val="00215EC4"/>
    <w:rsid w:val="002204BB"/>
    <w:rsid w:val="00221B79"/>
    <w:rsid w:val="00221C6B"/>
    <w:rsid w:val="002253A1"/>
    <w:rsid w:val="0022582F"/>
    <w:rsid w:val="00225CF8"/>
    <w:rsid w:val="0022794E"/>
    <w:rsid w:val="00227B40"/>
    <w:rsid w:val="00233D64"/>
    <w:rsid w:val="0023482A"/>
    <w:rsid w:val="002359CB"/>
    <w:rsid w:val="00237181"/>
    <w:rsid w:val="00237833"/>
    <w:rsid w:val="00242EDE"/>
    <w:rsid w:val="00243540"/>
    <w:rsid w:val="00244738"/>
    <w:rsid w:val="0024497B"/>
    <w:rsid w:val="0024515B"/>
    <w:rsid w:val="00246021"/>
    <w:rsid w:val="0024666E"/>
    <w:rsid w:val="00247F52"/>
    <w:rsid w:val="00250B25"/>
    <w:rsid w:val="00250BBE"/>
    <w:rsid w:val="002515C2"/>
    <w:rsid w:val="0025194F"/>
    <w:rsid w:val="00252679"/>
    <w:rsid w:val="00260A8F"/>
    <w:rsid w:val="0026148A"/>
    <w:rsid w:val="00262696"/>
    <w:rsid w:val="00263D25"/>
    <w:rsid w:val="002643C3"/>
    <w:rsid w:val="00264A0C"/>
    <w:rsid w:val="00265405"/>
    <w:rsid w:val="00266EEB"/>
    <w:rsid w:val="00267EF4"/>
    <w:rsid w:val="00270CB8"/>
    <w:rsid w:val="00272B08"/>
    <w:rsid w:val="00281BB8"/>
    <w:rsid w:val="00281E9E"/>
    <w:rsid w:val="00282317"/>
    <w:rsid w:val="00282405"/>
    <w:rsid w:val="00285170"/>
    <w:rsid w:val="00285361"/>
    <w:rsid w:val="00292D60"/>
    <w:rsid w:val="0029300F"/>
    <w:rsid w:val="00293B30"/>
    <w:rsid w:val="00294D34"/>
    <w:rsid w:val="00294E3B"/>
    <w:rsid w:val="0029590F"/>
    <w:rsid w:val="00296193"/>
    <w:rsid w:val="00296C66"/>
    <w:rsid w:val="00296EBE"/>
    <w:rsid w:val="002973C0"/>
    <w:rsid w:val="002974E3"/>
    <w:rsid w:val="002A084B"/>
    <w:rsid w:val="002A1260"/>
    <w:rsid w:val="002A1589"/>
    <w:rsid w:val="002A1608"/>
    <w:rsid w:val="002A25DC"/>
    <w:rsid w:val="002A3AAB"/>
    <w:rsid w:val="002A4CEA"/>
    <w:rsid w:val="002A5977"/>
    <w:rsid w:val="002A5A13"/>
    <w:rsid w:val="002A6A4A"/>
    <w:rsid w:val="002A757F"/>
    <w:rsid w:val="002A7F44"/>
    <w:rsid w:val="002B0C40"/>
    <w:rsid w:val="002B1966"/>
    <w:rsid w:val="002B36E3"/>
    <w:rsid w:val="002B4508"/>
    <w:rsid w:val="002B5779"/>
    <w:rsid w:val="002B7332"/>
    <w:rsid w:val="002B76C2"/>
    <w:rsid w:val="002B7F51"/>
    <w:rsid w:val="002C09E7"/>
    <w:rsid w:val="002C1E06"/>
    <w:rsid w:val="002C1E1C"/>
    <w:rsid w:val="002C3F07"/>
    <w:rsid w:val="002C5278"/>
    <w:rsid w:val="002C7EBB"/>
    <w:rsid w:val="002D06C1"/>
    <w:rsid w:val="002D42B5"/>
    <w:rsid w:val="002D4968"/>
    <w:rsid w:val="002D4F1A"/>
    <w:rsid w:val="002D6EC6"/>
    <w:rsid w:val="002D79AC"/>
    <w:rsid w:val="002E039D"/>
    <w:rsid w:val="002E211D"/>
    <w:rsid w:val="002E4D5A"/>
    <w:rsid w:val="002E6326"/>
    <w:rsid w:val="002F30E0"/>
    <w:rsid w:val="002F35E4"/>
    <w:rsid w:val="002F3730"/>
    <w:rsid w:val="002F38E1"/>
    <w:rsid w:val="002F3E5E"/>
    <w:rsid w:val="002F442D"/>
    <w:rsid w:val="002F7AF6"/>
    <w:rsid w:val="00300E63"/>
    <w:rsid w:val="00302F5F"/>
    <w:rsid w:val="0030441D"/>
    <w:rsid w:val="00304BF8"/>
    <w:rsid w:val="00305F3F"/>
    <w:rsid w:val="00306063"/>
    <w:rsid w:val="0031146A"/>
    <w:rsid w:val="003124BE"/>
    <w:rsid w:val="00313B85"/>
    <w:rsid w:val="00317988"/>
    <w:rsid w:val="00320EB5"/>
    <w:rsid w:val="00321484"/>
    <w:rsid w:val="003221B4"/>
    <w:rsid w:val="0032258D"/>
    <w:rsid w:val="00322E62"/>
    <w:rsid w:val="00324218"/>
    <w:rsid w:val="00324D13"/>
    <w:rsid w:val="00324D2A"/>
    <w:rsid w:val="00324EDD"/>
    <w:rsid w:val="003267C7"/>
    <w:rsid w:val="0032761B"/>
    <w:rsid w:val="003331E4"/>
    <w:rsid w:val="0033529E"/>
    <w:rsid w:val="00335642"/>
    <w:rsid w:val="003360C6"/>
    <w:rsid w:val="00336C64"/>
    <w:rsid w:val="00337162"/>
    <w:rsid w:val="003405DA"/>
    <w:rsid w:val="0034194F"/>
    <w:rsid w:val="00343D1B"/>
    <w:rsid w:val="00344605"/>
    <w:rsid w:val="00344B80"/>
    <w:rsid w:val="003474AA"/>
    <w:rsid w:val="00350D1D"/>
    <w:rsid w:val="00352C83"/>
    <w:rsid w:val="00360B47"/>
    <w:rsid w:val="0036154E"/>
    <w:rsid w:val="003615D2"/>
    <w:rsid w:val="00361827"/>
    <w:rsid w:val="0036429C"/>
    <w:rsid w:val="00364A53"/>
    <w:rsid w:val="003654CB"/>
    <w:rsid w:val="00365AA9"/>
    <w:rsid w:val="00365F86"/>
    <w:rsid w:val="00365F87"/>
    <w:rsid w:val="00366E89"/>
    <w:rsid w:val="003705F4"/>
    <w:rsid w:val="00370C3E"/>
    <w:rsid w:val="00370D58"/>
    <w:rsid w:val="00371316"/>
    <w:rsid w:val="00373548"/>
    <w:rsid w:val="00375CD8"/>
    <w:rsid w:val="00376012"/>
    <w:rsid w:val="00376713"/>
    <w:rsid w:val="00380274"/>
    <w:rsid w:val="00380D72"/>
    <w:rsid w:val="00381815"/>
    <w:rsid w:val="003819AF"/>
    <w:rsid w:val="003820E9"/>
    <w:rsid w:val="00382DE7"/>
    <w:rsid w:val="00383988"/>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3DE2"/>
    <w:rsid w:val="003A4077"/>
    <w:rsid w:val="003B09AD"/>
    <w:rsid w:val="003B1F18"/>
    <w:rsid w:val="003B5BF0"/>
    <w:rsid w:val="003B60BF"/>
    <w:rsid w:val="003B6BE3"/>
    <w:rsid w:val="003C010C"/>
    <w:rsid w:val="003C0A6C"/>
    <w:rsid w:val="003C14F8"/>
    <w:rsid w:val="003C5A43"/>
    <w:rsid w:val="003D0519"/>
    <w:rsid w:val="003D0FF6"/>
    <w:rsid w:val="003D262C"/>
    <w:rsid w:val="003D470F"/>
    <w:rsid w:val="003D5091"/>
    <w:rsid w:val="003D6D61"/>
    <w:rsid w:val="003E091D"/>
    <w:rsid w:val="003E1867"/>
    <w:rsid w:val="003E1C53"/>
    <w:rsid w:val="003E2A69"/>
    <w:rsid w:val="003E2B2B"/>
    <w:rsid w:val="003E2D49"/>
    <w:rsid w:val="003E2FD4"/>
    <w:rsid w:val="003E3527"/>
    <w:rsid w:val="003E49F6"/>
    <w:rsid w:val="003E4AB9"/>
    <w:rsid w:val="003E5670"/>
    <w:rsid w:val="003E660F"/>
    <w:rsid w:val="003F0841"/>
    <w:rsid w:val="003F23D3"/>
    <w:rsid w:val="003F3F08"/>
    <w:rsid w:val="003F49F1"/>
    <w:rsid w:val="003F6272"/>
    <w:rsid w:val="00400E72"/>
    <w:rsid w:val="00401400"/>
    <w:rsid w:val="004032A8"/>
    <w:rsid w:val="00404706"/>
    <w:rsid w:val="00404869"/>
    <w:rsid w:val="00405884"/>
    <w:rsid w:val="00405A8B"/>
    <w:rsid w:val="00407D39"/>
    <w:rsid w:val="0041477A"/>
    <w:rsid w:val="004167A3"/>
    <w:rsid w:val="00426115"/>
    <w:rsid w:val="00432DAA"/>
    <w:rsid w:val="00434305"/>
    <w:rsid w:val="00434B4B"/>
    <w:rsid w:val="00434B8A"/>
    <w:rsid w:val="00435DF7"/>
    <w:rsid w:val="0044083F"/>
    <w:rsid w:val="00441AE7"/>
    <w:rsid w:val="00442147"/>
    <w:rsid w:val="00445574"/>
    <w:rsid w:val="004467F5"/>
    <w:rsid w:val="004467FB"/>
    <w:rsid w:val="0045054C"/>
    <w:rsid w:val="0045278D"/>
    <w:rsid w:val="00452D6B"/>
    <w:rsid w:val="00454484"/>
    <w:rsid w:val="0045517B"/>
    <w:rsid w:val="00463B77"/>
    <w:rsid w:val="00463C7B"/>
    <w:rsid w:val="004644A6"/>
    <w:rsid w:val="004658D5"/>
    <w:rsid w:val="004659BD"/>
    <w:rsid w:val="00465DF7"/>
    <w:rsid w:val="00470775"/>
    <w:rsid w:val="004746B1"/>
    <w:rsid w:val="0047583F"/>
    <w:rsid w:val="00475DE8"/>
    <w:rsid w:val="0047624C"/>
    <w:rsid w:val="00476253"/>
    <w:rsid w:val="00476D66"/>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139E"/>
    <w:rsid w:val="004B2701"/>
    <w:rsid w:val="004B2E1B"/>
    <w:rsid w:val="004B379E"/>
    <w:rsid w:val="004B3AA8"/>
    <w:rsid w:val="004B3E93"/>
    <w:rsid w:val="004B69BA"/>
    <w:rsid w:val="004C1D69"/>
    <w:rsid w:val="004C1FBC"/>
    <w:rsid w:val="004C3F1D"/>
    <w:rsid w:val="004C458D"/>
    <w:rsid w:val="004C7556"/>
    <w:rsid w:val="004C79B7"/>
    <w:rsid w:val="004C7E8B"/>
    <w:rsid w:val="004C7E9D"/>
    <w:rsid w:val="004C7F67"/>
    <w:rsid w:val="004D076D"/>
    <w:rsid w:val="004D0EF1"/>
    <w:rsid w:val="004D1329"/>
    <w:rsid w:val="004D2253"/>
    <w:rsid w:val="004D3E94"/>
    <w:rsid w:val="004D4406"/>
    <w:rsid w:val="004D5D4F"/>
    <w:rsid w:val="004D6535"/>
    <w:rsid w:val="004D71F6"/>
    <w:rsid w:val="004D7C42"/>
    <w:rsid w:val="004E0465"/>
    <w:rsid w:val="004E0991"/>
    <w:rsid w:val="004E127B"/>
    <w:rsid w:val="004E1806"/>
    <w:rsid w:val="004E1C0A"/>
    <w:rsid w:val="004E2B06"/>
    <w:rsid w:val="004E30C5"/>
    <w:rsid w:val="004E4AA5"/>
    <w:rsid w:val="004E4AEE"/>
    <w:rsid w:val="004E59E3"/>
    <w:rsid w:val="004E67C0"/>
    <w:rsid w:val="004F391A"/>
    <w:rsid w:val="004F3CFB"/>
    <w:rsid w:val="004F45DC"/>
    <w:rsid w:val="004F6456"/>
    <w:rsid w:val="004F696E"/>
    <w:rsid w:val="004F6C71"/>
    <w:rsid w:val="00501139"/>
    <w:rsid w:val="00501450"/>
    <w:rsid w:val="0050363E"/>
    <w:rsid w:val="005039BC"/>
    <w:rsid w:val="005043BB"/>
    <w:rsid w:val="005047D6"/>
    <w:rsid w:val="00504A3D"/>
    <w:rsid w:val="00505767"/>
    <w:rsid w:val="005073F0"/>
    <w:rsid w:val="00510A7B"/>
    <w:rsid w:val="0051149A"/>
    <w:rsid w:val="00512F6E"/>
    <w:rsid w:val="00513038"/>
    <w:rsid w:val="00513ABF"/>
    <w:rsid w:val="00514174"/>
    <w:rsid w:val="005159E8"/>
    <w:rsid w:val="00516088"/>
    <w:rsid w:val="00516B0B"/>
    <w:rsid w:val="005205B7"/>
    <w:rsid w:val="005212E1"/>
    <w:rsid w:val="005220EC"/>
    <w:rsid w:val="00523F95"/>
    <w:rsid w:val="00524C3D"/>
    <w:rsid w:val="00524D65"/>
    <w:rsid w:val="00525B16"/>
    <w:rsid w:val="005268A2"/>
    <w:rsid w:val="00533D04"/>
    <w:rsid w:val="00534804"/>
    <w:rsid w:val="00534BDF"/>
    <w:rsid w:val="005354EA"/>
    <w:rsid w:val="0053585F"/>
    <w:rsid w:val="00535EC4"/>
    <w:rsid w:val="00535ED9"/>
    <w:rsid w:val="0053692B"/>
    <w:rsid w:val="00541853"/>
    <w:rsid w:val="0054317E"/>
    <w:rsid w:val="00543BDA"/>
    <w:rsid w:val="005441CC"/>
    <w:rsid w:val="005479DA"/>
    <w:rsid w:val="00547BCC"/>
    <w:rsid w:val="0055013B"/>
    <w:rsid w:val="00551F6F"/>
    <w:rsid w:val="00554BC1"/>
    <w:rsid w:val="00555044"/>
    <w:rsid w:val="005578D9"/>
    <w:rsid w:val="00557EDF"/>
    <w:rsid w:val="00561475"/>
    <w:rsid w:val="00563714"/>
    <w:rsid w:val="00564598"/>
    <w:rsid w:val="0056487B"/>
    <w:rsid w:val="00564FB9"/>
    <w:rsid w:val="00570784"/>
    <w:rsid w:val="00573D9E"/>
    <w:rsid w:val="005757BD"/>
    <w:rsid w:val="005801E3"/>
    <w:rsid w:val="00581802"/>
    <w:rsid w:val="00581B69"/>
    <w:rsid w:val="005836A8"/>
    <w:rsid w:val="0058409C"/>
    <w:rsid w:val="00584262"/>
    <w:rsid w:val="00586630"/>
    <w:rsid w:val="00587ADD"/>
    <w:rsid w:val="00587E61"/>
    <w:rsid w:val="00596160"/>
    <w:rsid w:val="00596283"/>
    <w:rsid w:val="005966E2"/>
    <w:rsid w:val="00597007"/>
    <w:rsid w:val="005A0966"/>
    <w:rsid w:val="005A11B7"/>
    <w:rsid w:val="005A260B"/>
    <w:rsid w:val="005A4488"/>
    <w:rsid w:val="005A4A1B"/>
    <w:rsid w:val="005A70C3"/>
    <w:rsid w:val="005A7830"/>
    <w:rsid w:val="005A7FCE"/>
    <w:rsid w:val="005B0F3F"/>
    <w:rsid w:val="005B31FA"/>
    <w:rsid w:val="005B4903"/>
    <w:rsid w:val="005B51CE"/>
    <w:rsid w:val="005B5885"/>
    <w:rsid w:val="005B5CD7"/>
    <w:rsid w:val="005B6CF6"/>
    <w:rsid w:val="005B7422"/>
    <w:rsid w:val="005C190D"/>
    <w:rsid w:val="005C29B8"/>
    <w:rsid w:val="005C492E"/>
    <w:rsid w:val="005C572F"/>
    <w:rsid w:val="005C5F21"/>
    <w:rsid w:val="005C7156"/>
    <w:rsid w:val="005D0C75"/>
    <w:rsid w:val="005D4171"/>
    <w:rsid w:val="005D4325"/>
    <w:rsid w:val="005D6A95"/>
    <w:rsid w:val="005D6B2C"/>
    <w:rsid w:val="005D6D9C"/>
    <w:rsid w:val="005E2335"/>
    <w:rsid w:val="005E34CA"/>
    <w:rsid w:val="005E3C18"/>
    <w:rsid w:val="005E6812"/>
    <w:rsid w:val="005E7881"/>
    <w:rsid w:val="005E78E0"/>
    <w:rsid w:val="005F0D9C"/>
    <w:rsid w:val="005F284E"/>
    <w:rsid w:val="005F4712"/>
    <w:rsid w:val="005F48AF"/>
    <w:rsid w:val="006015CE"/>
    <w:rsid w:val="00603568"/>
    <w:rsid w:val="00604784"/>
    <w:rsid w:val="00606419"/>
    <w:rsid w:val="00607D29"/>
    <w:rsid w:val="00612952"/>
    <w:rsid w:val="00614CC1"/>
    <w:rsid w:val="00615A9D"/>
    <w:rsid w:val="00617387"/>
    <w:rsid w:val="006205D6"/>
    <w:rsid w:val="00623729"/>
    <w:rsid w:val="006252D8"/>
    <w:rsid w:val="006259BC"/>
    <w:rsid w:val="0062636B"/>
    <w:rsid w:val="00632182"/>
    <w:rsid w:val="00632AE0"/>
    <w:rsid w:val="00633C17"/>
    <w:rsid w:val="00634D9E"/>
    <w:rsid w:val="00636E3E"/>
    <w:rsid w:val="006379F7"/>
    <w:rsid w:val="00637E4D"/>
    <w:rsid w:val="00640620"/>
    <w:rsid w:val="00641A1F"/>
    <w:rsid w:val="00645904"/>
    <w:rsid w:val="00646639"/>
    <w:rsid w:val="006500E9"/>
    <w:rsid w:val="006506D1"/>
    <w:rsid w:val="00650C77"/>
    <w:rsid w:val="00651ACB"/>
    <w:rsid w:val="00651C47"/>
    <w:rsid w:val="00652AB2"/>
    <w:rsid w:val="00653FED"/>
    <w:rsid w:val="00654EC0"/>
    <w:rsid w:val="0065525B"/>
    <w:rsid w:val="00655D4F"/>
    <w:rsid w:val="00656D29"/>
    <w:rsid w:val="006604A2"/>
    <w:rsid w:val="006640E5"/>
    <w:rsid w:val="006646F1"/>
    <w:rsid w:val="00664929"/>
    <w:rsid w:val="00664F62"/>
    <w:rsid w:val="006655E1"/>
    <w:rsid w:val="00670C7B"/>
    <w:rsid w:val="00672060"/>
    <w:rsid w:val="00672231"/>
    <w:rsid w:val="00672BFD"/>
    <w:rsid w:val="006759F3"/>
    <w:rsid w:val="00676FA8"/>
    <w:rsid w:val="006770F4"/>
    <w:rsid w:val="00677A84"/>
    <w:rsid w:val="0068026D"/>
    <w:rsid w:val="00680A27"/>
    <w:rsid w:val="006816A4"/>
    <w:rsid w:val="006819B8"/>
    <w:rsid w:val="006840A6"/>
    <w:rsid w:val="006850CD"/>
    <w:rsid w:val="0068571E"/>
    <w:rsid w:val="00685AAB"/>
    <w:rsid w:val="006A07AA"/>
    <w:rsid w:val="006A1A7E"/>
    <w:rsid w:val="006A25E5"/>
    <w:rsid w:val="006A2B46"/>
    <w:rsid w:val="006A2F89"/>
    <w:rsid w:val="006A336D"/>
    <w:rsid w:val="006A37B9"/>
    <w:rsid w:val="006A57D9"/>
    <w:rsid w:val="006A6FAE"/>
    <w:rsid w:val="006A763D"/>
    <w:rsid w:val="006B2354"/>
    <w:rsid w:val="006B2672"/>
    <w:rsid w:val="006B27A0"/>
    <w:rsid w:val="006B3B87"/>
    <w:rsid w:val="006B54BF"/>
    <w:rsid w:val="006B5F44"/>
    <w:rsid w:val="006B5F90"/>
    <w:rsid w:val="006B60AC"/>
    <w:rsid w:val="006B62E4"/>
    <w:rsid w:val="006B6B73"/>
    <w:rsid w:val="006C1BBA"/>
    <w:rsid w:val="006C1BE3"/>
    <w:rsid w:val="006C2079"/>
    <w:rsid w:val="006C23BD"/>
    <w:rsid w:val="006C5A62"/>
    <w:rsid w:val="006C5D68"/>
    <w:rsid w:val="006C6976"/>
    <w:rsid w:val="006C6DD0"/>
    <w:rsid w:val="006C79C5"/>
    <w:rsid w:val="006D04EA"/>
    <w:rsid w:val="006D16C4"/>
    <w:rsid w:val="006D3E96"/>
    <w:rsid w:val="006D4515"/>
    <w:rsid w:val="006D4BB1"/>
    <w:rsid w:val="006D6593"/>
    <w:rsid w:val="006E23EA"/>
    <w:rsid w:val="006E3FF4"/>
    <w:rsid w:val="006F03A8"/>
    <w:rsid w:val="006F2ACA"/>
    <w:rsid w:val="006F2ADC"/>
    <w:rsid w:val="006F2BFE"/>
    <w:rsid w:val="006F31E9"/>
    <w:rsid w:val="006F6284"/>
    <w:rsid w:val="007002C5"/>
    <w:rsid w:val="00703865"/>
    <w:rsid w:val="00704387"/>
    <w:rsid w:val="007071E5"/>
    <w:rsid w:val="00707669"/>
    <w:rsid w:val="007111B8"/>
    <w:rsid w:val="00711CBA"/>
    <w:rsid w:val="00711FB5"/>
    <w:rsid w:val="00712A01"/>
    <w:rsid w:val="00714F58"/>
    <w:rsid w:val="007157F2"/>
    <w:rsid w:val="007167EF"/>
    <w:rsid w:val="00717146"/>
    <w:rsid w:val="00720C96"/>
    <w:rsid w:val="00722ED7"/>
    <w:rsid w:val="00722FBF"/>
    <w:rsid w:val="00722FC2"/>
    <w:rsid w:val="00724879"/>
    <w:rsid w:val="00724E1B"/>
    <w:rsid w:val="00725949"/>
    <w:rsid w:val="00727FA2"/>
    <w:rsid w:val="007317D3"/>
    <w:rsid w:val="007322D9"/>
    <w:rsid w:val="00732BC0"/>
    <w:rsid w:val="00734EC7"/>
    <w:rsid w:val="0073720F"/>
    <w:rsid w:val="00737796"/>
    <w:rsid w:val="0074165C"/>
    <w:rsid w:val="00741F17"/>
    <w:rsid w:val="00742C35"/>
    <w:rsid w:val="007432CA"/>
    <w:rsid w:val="007439EB"/>
    <w:rsid w:val="00743CB4"/>
    <w:rsid w:val="00743F0A"/>
    <w:rsid w:val="007444E8"/>
    <w:rsid w:val="0074548E"/>
    <w:rsid w:val="00745773"/>
    <w:rsid w:val="00746800"/>
    <w:rsid w:val="007501A8"/>
    <w:rsid w:val="00750D61"/>
    <w:rsid w:val="00750EE1"/>
    <w:rsid w:val="00752B4D"/>
    <w:rsid w:val="00753741"/>
    <w:rsid w:val="00754777"/>
    <w:rsid w:val="00754E7B"/>
    <w:rsid w:val="00755402"/>
    <w:rsid w:val="00756B26"/>
    <w:rsid w:val="00756EDF"/>
    <w:rsid w:val="007600E3"/>
    <w:rsid w:val="00760ABF"/>
    <w:rsid w:val="00765C43"/>
    <w:rsid w:val="00765EFB"/>
    <w:rsid w:val="007662F6"/>
    <w:rsid w:val="007671CA"/>
    <w:rsid w:val="00767495"/>
    <w:rsid w:val="00767C61"/>
    <w:rsid w:val="0077008A"/>
    <w:rsid w:val="00773C1F"/>
    <w:rsid w:val="00774B2E"/>
    <w:rsid w:val="00774DA4"/>
    <w:rsid w:val="007764D7"/>
    <w:rsid w:val="00776599"/>
    <w:rsid w:val="007801D1"/>
    <w:rsid w:val="0078114B"/>
    <w:rsid w:val="00781DD2"/>
    <w:rsid w:val="00783ECF"/>
    <w:rsid w:val="0078413A"/>
    <w:rsid w:val="007841E8"/>
    <w:rsid w:val="00786B14"/>
    <w:rsid w:val="007959E8"/>
    <w:rsid w:val="00795E9C"/>
    <w:rsid w:val="007A0355"/>
    <w:rsid w:val="007A0521"/>
    <w:rsid w:val="007A2E12"/>
    <w:rsid w:val="007A3475"/>
    <w:rsid w:val="007A41C8"/>
    <w:rsid w:val="007A54CE"/>
    <w:rsid w:val="007A6FD9"/>
    <w:rsid w:val="007A7FFA"/>
    <w:rsid w:val="007B04EB"/>
    <w:rsid w:val="007B0D4F"/>
    <w:rsid w:val="007B1BB7"/>
    <w:rsid w:val="007B5A3D"/>
    <w:rsid w:val="007B5B95"/>
    <w:rsid w:val="007B68EA"/>
    <w:rsid w:val="007B7453"/>
    <w:rsid w:val="007B7BA4"/>
    <w:rsid w:val="007C0039"/>
    <w:rsid w:val="007C16CB"/>
    <w:rsid w:val="007C1E8B"/>
    <w:rsid w:val="007C2D89"/>
    <w:rsid w:val="007C4593"/>
    <w:rsid w:val="007C5309"/>
    <w:rsid w:val="007C5FA8"/>
    <w:rsid w:val="007C6069"/>
    <w:rsid w:val="007D06C4"/>
    <w:rsid w:val="007D081B"/>
    <w:rsid w:val="007D1352"/>
    <w:rsid w:val="007D2508"/>
    <w:rsid w:val="007D346A"/>
    <w:rsid w:val="007D4053"/>
    <w:rsid w:val="007D4326"/>
    <w:rsid w:val="007D6518"/>
    <w:rsid w:val="007D76BD"/>
    <w:rsid w:val="007E0BF1"/>
    <w:rsid w:val="007E3212"/>
    <w:rsid w:val="007E3718"/>
    <w:rsid w:val="007F0ED8"/>
    <w:rsid w:val="007F0F63"/>
    <w:rsid w:val="007F2F17"/>
    <w:rsid w:val="007F75CE"/>
    <w:rsid w:val="007F76C2"/>
    <w:rsid w:val="007F79B7"/>
    <w:rsid w:val="008013A4"/>
    <w:rsid w:val="00801BDF"/>
    <w:rsid w:val="008027CE"/>
    <w:rsid w:val="00802F42"/>
    <w:rsid w:val="00804383"/>
    <w:rsid w:val="00804BB7"/>
    <w:rsid w:val="00804D41"/>
    <w:rsid w:val="00810257"/>
    <w:rsid w:val="008104F5"/>
    <w:rsid w:val="00811072"/>
    <w:rsid w:val="00811369"/>
    <w:rsid w:val="00815419"/>
    <w:rsid w:val="008163C8"/>
    <w:rsid w:val="008164A1"/>
    <w:rsid w:val="00816C75"/>
    <w:rsid w:val="00817325"/>
    <w:rsid w:val="008209E6"/>
    <w:rsid w:val="00823303"/>
    <w:rsid w:val="008233B2"/>
    <w:rsid w:val="00823A9F"/>
    <w:rsid w:val="00823C85"/>
    <w:rsid w:val="00825138"/>
    <w:rsid w:val="00825340"/>
    <w:rsid w:val="008269DD"/>
    <w:rsid w:val="00830621"/>
    <w:rsid w:val="0083348C"/>
    <w:rsid w:val="00836136"/>
    <w:rsid w:val="008373D3"/>
    <w:rsid w:val="00840340"/>
    <w:rsid w:val="00840617"/>
    <w:rsid w:val="00840F84"/>
    <w:rsid w:val="00842A47"/>
    <w:rsid w:val="00843C13"/>
    <w:rsid w:val="008454F8"/>
    <w:rsid w:val="00847491"/>
    <w:rsid w:val="0085173A"/>
    <w:rsid w:val="00853BF0"/>
    <w:rsid w:val="00856316"/>
    <w:rsid w:val="008603CE"/>
    <w:rsid w:val="008620FC"/>
    <w:rsid w:val="008627A5"/>
    <w:rsid w:val="00863E05"/>
    <w:rsid w:val="00865ACA"/>
    <w:rsid w:val="00865D28"/>
    <w:rsid w:val="00865F85"/>
    <w:rsid w:val="0086728E"/>
    <w:rsid w:val="00867C10"/>
    <w:rsid w:val="00870439"/>
    <w:rsid w:val="00870DA1"/>
    <w:rsid w:val="0087707C"/>
    <w:rsid w:val="00883472"/>
    <w:rsid w:val="00883919"/>
    <w:rsid w:val="00883F93"/>
    <w:rsid w:val="00884DB3"/>
    <w:rsid w:val="00885A9D"/>
    <w:rsid w:val="008864F6"/>
    <w:rsid w:val="00887E37"/>
    <w:rsid w:val="0089049D"/>
    <w:rsid w:val="0089087B"/>
    <w:rsid w:val="008928C9"/>
    <w:rsid w:val="008930CB"/>
    <w:rsid w:val="008938DC"/>
    <w:rsid w:val="00893FD1"/>
    <w:rsid w:val="00894836"/>
    <w:rsid w:val="00895172"/>
    <w:rsid w:val="00895680"/>
    <w:rsid w:val="00896DFF"/>
    <w:rsid w:val="0089762C"/>
    <w:rsid w:val="008A1893"/>
    <w:rsid w:val="008A3166"/>
    <w:rsid w:val="008A3215"/>
    <w:rsid w:val="008A57E6"/>
    <w:rsid w:val="008A6F81"/>
    <w:rsid w:val="008A769A"/>
    <w:rsid w:val="008B0C9C"/>
    <w:rsid w:val="008B166D"/>
    <w:rsid w:val="008B17F4"/>
    <w:rsid w:val="008B3615"/>
    <w:rsid w:val="008B4AC4"/>
    <w:rsid w:val="008B50C8"/>
    <w:rsid w:val="008B5192"/>
    <w:rsid w:val="008B5281"/>
    <w:rsid w:val="008B7E05"/>
    <w:rsid w:val="008C0106"/>
    <w:rsid w:val="008C1797"/>
    <w:rsid w:val="008C219C"/>
    <w:rsid w:val="008C475E"/>
    <w:rsid w:val="008C619A"/>
    <w:rsid w:val="008C7D89"/>
    <w:rsid w:val="008D0CE8"/>
    <w:rsid w:val="008D2D1D"/>
    <w:rsid w:val="008D453D"/>
    <w:rsid w:val="008D53AD"/>
    <w:rsid w:val="008D562B"/>
    <w:rsid w:val="008D5733"/>
    <w:rsid w:val="008D5EE0"/>
    <w:rsid w:val="008D622B"/>
    <w:rsid w:val="008D666C"/>
    <w:rsid w:val="008D7B54"/>
    <w:rsid w:val="008E0C9D"/>
    <w:rsid w:val="008E1648"/>
    <w:rsid w:val="008E1B3E"/>
    <w:rsid w:val="008E2319"/>
    <w:rsid w:val="008E4BB6"/>
    <w:rsid w:val="008E5391"/>
    <w:rsid w:val="008E5518"/>
    <w:rsid w:val="008E6A84"/>
    <w:rsid w:val="008F0CDC"/>
    <w:rsid w:val="008F17A3"/>
    <w:rsid w:val="008F1ED3"/>
    <w:rsid w:val="008F23A5"/>
    <w:rsid w:val="008F4C29"/>
    <w:rsid w:val="008F70BD"/>
    <w:rsid w:val="008F72F2"/>
    <w:rsid w:val="008F788F"/>
    <w:rsid w:val="008F7EA2"/>
    <w:rsid w:val="00900313"/>
    <w:rsid w:val="00902722"/>
    <w:rsid w:val="009027BC"/>
    <w:rsid w:val="009062E6"/>
    <w:rsid w:val="0090731F"/>
    <w:rsid w:val="00911BE5"/>
    <w:rsid w:val="00913CA9"/>
    <w:rsid w:val="00913DEA"/>
    <w:rsid w:val="009145AE"/>
    <w:rsid w:val="009146CE"/>
    <w:rsid w:val="00914CA7"/>
    <w:rsid w:val="00915C3E"/>
    <w:rsid w:val="009161A8"/>
    <w:rsid w:val="0092357D"/>
    <w:rsid w:val="009245F5"/>
    <w:rsid w:val="00924918"/>
    <w:rsid w:val="009249EC"/>
    <w:rsid w:val="009273B3"/>
    <w:rsid w:val="009278C3"/>
    <w:rsid w:val="009305B5"/>
    <w:rsid w:val="0093120E"/>
    <w:rsid w:val="0093329C"/>
    <w:rsid w:val="00936904"/>
    <w:rsid w:val="00936F47"/>
    <w:rsid w:val="009421F1"/>
    <w:rsid w:val="009429D5"/>
    <w:rsid w:val="00942BF1"/>
    <w:rsid w:val="00945180"/>
    <w:rsid w:val="00945428"/>
    <w:rsid w:val="0094607B"/>
    <w:rsid w:val="009522C9"/>
    <w:rsid w:val="00952538"/>
    <w:rsid w:val="00952571"/>
    <w:rsid w:val="00953604"/>
    <w:rsid w:val="0095496B"/>
    <w:rsid w:val="009564E4"/>
    <w:rsid w:val="0095740C"/>
    <w:rsid w:val="009610DC"/>
    <w:rsid w:val="00961490"/>
    <w:rsid w:val="0096192A"/>
    <w:rsid w:val="0096381A"/>
    <w:rsid w:val="009656C7"/>
    <w:rsid w:val="00965E04"/>
    <w:rsid w:val="009674AD"/>
    <w:rsid w:val="009705A1"/>
    <w:rsid w:val="00970CDC"/>
    <w:rsid w:val="00976326"/>
    <w:rsid w:val="00976F9E"/>
    <w:rsid w:val="00977010"/>
    <w:rsid w:val="00977D02"/>
    <w:rsid w:val="009809BB"/>
    <w:rsid w:val="0098364B"/>
    <w:rsid w:val="0098369C"/>
    <w:rsid w:val="00985933"/>
    <w:rsid w:val="009911AF"/>
    <w:rsid w:val="00991875"/>
    <w:rsid w:val="00991F92"/>
    <w:rsid w:val="00992985"/>
    <w:rsid w:val="00993889"/>
    <w:rsid w:val="0099551B"/>
    <w:rsid w:val="00997BF1"/>
    <w:rsid w:val="009A089C"/>
    <w:rsid w:val="009A0AE7"/>
    <w:rsid w:val="009A118E"/>
    <w:rsid w:val="009A208D"/>
    <w:rsid w:val="009A21CD"/>
    <w:rsid w:val="009A278C"/>
    <w:rsid w:val="009A2BC2"/>
    <w:rsid w:val="009A41CA"/>
    <w:rsid w:val="009A42C1"/>
    <w:rsid w:val="009A5429"/>
    <w:rsid w:val="009A72AD"/>
    <w:rsid w:val="009B09E0"/>
    <w:rsid w:val="009B0BC5"/>
    <w:rsid w:val="009B0DDA"/>
    <w:rsid w:val="009B1247"/>
    <w:rsid w:val="009B5254"/>
    <w:rsid w:val="009B6029"/>
    <w:rsid w:val="009B6971"/>
    <w:rsid w:val="009C1F15"/>
    <w:rsid w:val="009C27F1"/>
    <w:rsid w:val="009C3152"/>
    <w:rsid w:val="009C4CFA"/>
    <w:rsid w:val="009C5070"/>
    <w:rsid w:val="009C5CF2"/>
    <w:rsid w:val="009C7DEC"/>
    <w:rsid w:val="009D112C"/>
    <w:rsid w:val="009D47FA"/>
    <w:rsid w:val="009D4C5B"/>
    <w:rsid w:val="009D50D2"/>
    <w:rsid w:val="009D6BCA"/>
    <w:rsid w:val="009E0F62"/>
    <w:rsid w:val="009E2E11"/>
    <w:rsid w:val="009E40A3"/>
    <w:rsid w:val="009E4A58"/>
    <w:rsid w:val="009E5A2D"/>
    <w:rsid w:val="009E5AB2"/>
    <w:rsid w:val="009E6219"/>
    <w:rsid w:val="009F03B3"/>
    <w:rsid w:val="00A00716"/>
    <w:rsid w:val="00A0096C"/>
    <w:rsid w:val="00A01757"/>
    <w:rsid w:val="00A028C0"/>
    <w:rsid w:val="00A02BAE"/>
    <w:rsid w:val="00A062BE"/>
    <w:rsid w:val="00A06468"/>
    <w:rsid w:val="00A06A6B"/>
    <w:rsid w:val="00A07E47"/>
    <w:rsid w:val="00A129D0"/>
    <w:rsid w:val="00A12C33"/>
    <w:rsid w:val="00A138BA"/>
    <w:rsid w:val="00A14C8E"/>
    <w:rsid w:val="00A153D9"/>
    <w:rsid w:val="00A15F09"/>
    <w:rsid w:val="00A169B6"/>
    <w:rsid w:val="00A211CC"/>
    <w:rsid w:val="00A21F80"/>
    <w:rsid w:val="00A2271D"/>
    <w:rsid w:val="00A237D5"/>
    <w:rsid w:val="00A27976"/>
    <w:rsid w:val="00A30EFC"/>
    <w:rsid w:val="00A31984"/>
    <w:rsid w:val="00A32876"/>
    <w:rsid w:val="00A32D73"/>
    <w:rsid w:val="00A3367B"/>
    <w:rsid w:val="00A35282"/>
    <w:rsid w:val="00A3597D"/>
    <w:rsid w:val="00A36DD1"/>
    <w:rsid w:val="00A4006C"/>
    <w:rsid w:val="00A40091"/>
    <w:rsid w:val="00A4030F"/>
    <w:rsid w:val="00A41C79"/>
    <w:rsid w:val="00A41CB5"/>
    <w:rsid w:val="00A42CDF"/>
    <w:rsid w:val="00A4452E"/>
    <w:rsid w:val="00A4472C"/>
    <w:rsid w:val="00A44E69"/>
    <w:rsid w:val="00A45273"/>
    <w:rsid w:val="00A453D5"/>
    <w:rsid w:val="00A45D62"/>
    <w:rsid w:val="00A4661E"/>
    <w:rsid w:val="00A50FE9"/>
    <w:rsid w:val="00A515F5"/>
    <w:rsid w:val="00A541A3"/>
    <w:rsid w:val="00A55BD6"/>
    <w:rsid w:val="00A55D50"/>
    <w:rsid w:val="00A57142"/>
    <w:rsid w:val="00A648CD"/>
    <w:rsid w:val="00A6537A"/>
    <w:rsid w:val="00A65A94"/>
    <w:rsid w:val="00A67866"/>
    <w:rsid w:val="00A70B07"/>
    <w:rsid w:val="00A723F8"/>
    <w:rsid w:val="00A77CCB"/>
    <w:rsid w:val="00A83D8D"/>
    <w:rsid w:val="00A8446B"/>
    <w:rsid w:val="00A8473F"/>
    <w:rsid w:val="00A862D6"/>
    <w:rsid w:val="00A8715E"/>
    <w:rsid w:val="00A90C74"/>
    <w:rsid w:val="00A9295B"/>
    <w:rsid w:val="00A93B09"/>
    <w:rsid w:val="00A94247"/>
    <w:rsid w:val="00A952D7"/>
    <w:rsid w:val="00A963F7"/>
    <w:rsid w:val="00A96AD8"/>
    <w:rsid w:val="00AA052C"/>
    <w:rsid w:val="00AA1E45"/>
    <w:rsid w:val="00AA3596"/>
    <w:rsid w:val="00AA4286"/>
    <w:rsid w:val="00AA456B"/>
    <w:rsid w:val="00AA57F5"/>
    <w:rsid w:val="00AA672E"/>
    <w:rsid w:val="00AA6EC9"/>
    <w:rsid w:val="00AB1AC8"/>
    <w:rsid w:val="00AB41D5"/>
    <w:rsid w:val="00AB6309"/>
    <w:rsid w:val="00AB6C5F"/>
    <w:rsid w:val="00AB7129"/>
    <w:rsid w:val="00AC1E20"/>
    <w:rsid w:val="00AC27A6"/>
    <w:rsid w:val="00AC30F7"/>
    <w:rsid w:val="00AC3A5A"/>
    <w:rsid w:val="00AC4D95"/>
    <w:rsid w:val="00AC5DF4"/>
    <w:rsid w:val="00AC6631"/>
    <w:rsid w:val="00AC6653"/>
    <w:rsid w:val="00AC7BA3"/>
    <w:rsid w:val="00AD0AEF"/>
    <w:rsid w:val="00AD11B7"/>
    <w:rsid w:val="00AD1A94"/>
    <w:rsid w:val="00AD1C05"/>
    <w:rsid w:val="00AD4126"/>
    <w:rsid w:val="00AD421C"/>
    <w:rsid w:val="00AD44FA"/>
    <w:rsid w:val="00AD6644"/>
    <w:rsid w:val="00AE070A"/>
    <w:rsid w:val="00AE101C"/>
    <w:rsid w:val="00AE37E5"/>
    <w:rsid w:val="00AE5EB4"/>
    <w:rsid w:val="00AF0C18"/>
    <w:rsid w:val="00AF47C5"/>
    <w:rsid w:val="00AF5398"/>
    <w:rsid w:val="00AF53C8"/>
    <w:rsid w:val="00AF753B"/>
    <w:rsid w:val="00B04417"/>
    <w:rsid w:val="00B049AF"/>
    <w:rsid w:val="00B07242"/>
    <w:rsid w:val="00B0793F"/>
    <w:rsid w:val="00B10253"/>
    <w:rsid w:val="00B10534"/>
    <w:rsid w:val="00B11091"/>
    <w:rsid w:val="00B113DB"/>
    <w:rsid w:val="00B11D8A"/>
    <w:rsid w:val="00B12981"/>
    <w:rsid w:val="00B147DD"/>
    <w:rsid w:val="00B156FD"/>
    <w:rsid w:val="00B21F61"/>
    <w:rsid w:val="00B22CD4"/>
    <w:rsid w:val="00B23ACE"/>
    <w:rsid w:val="00B24CCB"/>
    <w:rsid w:val="00B2557C"/>
    <w:rsid w:val="00B261F1"/>
    <w:rsid w:val="00B265BC"/>
    <w:rsid w:val="00B27824"/>
    <w:rsid w:val="00B31FB1"/>
    <w:rsid w:val="00B33952"/>
    <w:rsid w:val="00B33C5E"/>
    <w:rsid w:val="00B342F4"/>
    <w:rsid w:val="00B34369"/>
    <w:rsid w:val="00B34DC2"/>
    <w:rsid w:val="00B3584C"/>
    <w:rsid w:val="00B36759"/>
    <w:rsid w:val="00B378E5"/>
    <w:rsid w:val="00B40482"/>
    <w:rsid w:val="00B4346D"/>
    <w:rsid w:val="00B440F4"/>
    <w:rsid w:val="00B447A5"/>
    <w:rsid w:val="00B45666"/>
    <w:rsid w:val="00B4654C"/>
    <w:rsid w:val="00B471A5"/>
    <w:rsid w:val="00B47293"/>
    <w:rsid w:val="00B50E50"/>
    <w:rsid w:val="00B52120"/>
    <w:rsid w:val="00B54ABC"/>
    <w:rsid w:val="00B54DDE"/>
    <w:rsid w:val="00B56FBE"/>
    <w:rsid w:val="00B60ACF"/>
    <w:rsid w:val="00B62B58"/>
    <w:rsid w:val="00B65149"/>
    <w:rsid w:val="00B66567"/>
    <w:rsid w:val="00B66F52"/>
    <w:rsid w:val="00B66FE5"/>
    <w:rsid w:val="00B706A4"/>
    <w:rsid w:val="00B71740"/>
    <w:rsid w:val="00B72880"/>
    <w:rsid w:val="00B758BF"/>
    <w:rsid w:val="00B77EC8"/>
    <w:rsid w:val="00B81448"/>
    <w:rsid w:val="00B827A6"/>
    <w:rsid w:val="00B831CE"/>
    <w:rsid w:val="00B86677"/>
    <w:rsid w:val="00B87131"/>
    <w:rsid w:val="00B90E7D"/>
    <w:rsid w:val="00B939B1"/>
    <w:rsid w:val="00B95169"/>
    <w:rsid w:val="00B96D40"/>
    <w:rsid w:val="00B97386"/>
    <w:rsid w:val="00BA263B"/>
    <w:rsid w:val="00BA42B2"/>
    <w:rsid w:val="00BA58D4"/>
    <w:rsid w:val="00BA5B9E"/>
    <w:rsid w:val="00BA6D0A"/>
    <w:rsid w:val="00BA7867"/>
    <w:rsid w:val="00BA7C9A"/>
    <w:rsid w:val="00BB5F8F"/>
    <w:rsid w:val="00BB657A"/>
    <w:rsid w:val="00BC0CF7"/>
    <w:rsid w:val="00BC1A4E"/>
    <w:rsid w:val="00BC5DC7"/>
    <w:rsid w:val="00BC6B8B"/>
    <w:rsid w:val="00BC73D8"/>
    <w:rsid w:val="00BD52D7"/>
    <w:rsid w:val="00BD5AD2"/>
    <w:rsid w:val="00BD6141"/>
    <w:rsid w:val="00BE22F3"/>
    <w:rsid w:val="00BE5B52"/>
    <w:rsid w:val="00BE774B"/>
    <w:rsid w:val="00BE7B8D"/>
    <w:rsid w:val="00BF0993"/>
    <w:rsid w:val="00BF10A9"/>
    <w:rsid w:val="00BF1703"/>
    <w:rsid w:val="00BF231C"/>
    <w:rsid w:val="00BF3C07"/>
    <w:rsid w:val="00BF41F0"/>
    <w:rsid w:val="00BF51E5"/>
    <w:rsid w:val="00BF74A6"/>
    <w:rsid w:val="00C013AD"/>
    <w:rsid w:val="00C02DA4"/>
    <w:rsid w:val="00C04904"/>
    <w:rsid w:val="00C056B3"/>
    <w:rsid w:val="00C103E5"/>
    <w:rsid w:val="00C13319"/>
    <w:rsid w:val="00C13EE9"/>
    <w:rsid w:val="00C175C8"/>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7207"/>
    <w:rsid w:val="00C5142B"/>
    <w:rsid w:val="00C521D6"/>
    <w:rsid w:val="00C55232"/>
    <w:rsid w:val="00C553A4"/>
    <w:rsid w:val="00C55A06"/>
    <w:rsid w:val="00C55D03"/>
    <w:rsid w:val="00C5768F"/>
    <w:rsid w:val="00C601BC"/>
    <w:rsid w:val="00C62611"/>
    <w:rsid w:val="00C6329F"/>
    <w:rsid w:val="00C63340"/>
    <w:rsid w:val="00C643F9"/>
    <w:rsid w:val="00C64E95"/>
    <w:rsid w:val="00C71372"/>
    <w:rsid w:val="00C72410"/>
    <w:rsid w:val="00C7287F"/>
    <w:rsid w:val="00C75DF8"/>
    <w:rsid w:val="00C80CB8"/>
    <w:rsid w:val="00C8127E"/>
    <w:rsid w:val="00C819F8"/>
    <w:rsid w:val="00C8248C"/>
    <w:rsid w:val="00C8364D"/>
    <w:rsid w:val="00C84E33"/>
    <w:rsid w:val="00C86D6F"/>
    <w:rsid w:val="00C905FC"/>
    <w:rsid w:val="00C92D03"/>
    <w:rsid w:val="00C9319C"/>
    <w:rsid w:val="00C94207"/>
    <w:rsid w:val="00C9435D"/>
    <w:rsid w:val="00C94DF2"/>
    <w:rsid w:val="00C96741"/>
    <w:rsid w:val="00CA2D1B"/>
    <w:rsid w:val="00CA375D"/>
    <w:rsid w:val="00CA46AA"/>
    <w:rsid w:val="00CA662A"/>
    <w:rsid w:val="00CA7AFD"/>
    <w:rsid w:val="00CA7C3C"/>
    <w:rsid w:val="00CB0130"/>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1CC1"/>
    <w:rsid w:val="00CD2808"/>
    <w:rsid w:val="00CD28BF"/>
    <w:rsid w:val="00CD4092"/>
    <w:rsid w:val="00CD4A20"/>
    <w:rsid w:val="00CD50A1"/>
    <w:rsid w:val="00CD519E"/>
    <w:rsid w:val="00CD5836"/>
    <w:rsid w:val="00CD63F3"/>
    <w:rsid w:val="00CE0C4F"/>
    <w:rsid w:val="00CE30EA"/>
    <w:rsid w:val="00CE3C1C"/>
    <w:rsid w:val="00CE42FB"/>
    <w:rsid w:val="00CF048A"/>
    <w:rsid w:val="00CF155A"/>
    <w:rsid w:val="00CF182F"/>
    <w:rsid w:val="00CF2947"/>
    <w:rsid w:val="00CF40E0"/>
    <w:rsid w:val="00CF686F"/>
    <w:rsid w:val="00CF6E60"/>
    <w:rsid w:val="00CF7697"/>
    <w:rsid w:val="00CF7BCA"/>
    <w:rsid w:val="00D008FD"/>
    <w:rsid w:val="00D0321C"/>
    <w:rsid w:val="00D035EC"/>
    <w:rsid w:val="00D03DAF"/>
    <w:rsid w:val="00D06AB1"/>
    <w:rsid w:val="00D072ED"/>
    <w:rsid w:val="00D07A16"/>
    <w:rsid w:val="00D1067E"/>
    <w:rsid w:val="00D10F50"/>
    <w:rsid w:val="00D11272"/>
    <w:rsid w:val="00D126F5"/>
    <w:rsid w:val="00D1489E"/>
    <w:rsid w:val="00D14FBC"/>
    <w:rsid w:val="00D15FB2"/>
    <w:rsid w:val="00D20737"/>
    <w:rsid w:val="00D214C5"/>
    <w:rsid w:val="00D21C23"/>
    <w:rsid w:val="00D21E81"/>
    <w:rsid w:val="00D223DE"/>
    <w:rsid w:val="00D25E37"/>
    <w:rsid w:val="00D2661A"/>
    <w:rsid w:val="00D27582"/>
    <w:rsid w:val="00D27EC4"/>
    <w:rsid w:val="00D30369"/>
    <w:rsid w:val="00D32719"/>
    <w:rsid w:val="00D33333"/>
    <w:rsid w:val="00D33457"/>
    <w:rsid w:val="00D352A2"/>
    <w:rsid w:val="00D35A64"/>
    <w:rsid w:val="00D36DEF"/>
    <w:rsid w:val="00D4162B"/>
    <w:rsid w:val="00D4514F"/>
    <w:rsid w:val="00D451E2"/>
    <w:rsid w:val="00D45E89"/>
    <w:rsid w:val="00D45E8D"/>
    <w:rsid w:val="00D4649D"/>
    <w:rsid w:val="00D466AE"/>
    <w:rsid w:val="00D4734F"/>
    <w:rsid w:val="00D51BF3"/>
    <w:rsid w:val="00D51D2A"/>
    <w:rsid w:val="00D66846"/>
    <w:rsid w:val="00D675FB"/>
    <w:rsid w:val="00D716F4"/>
    <w:rsid w:val="00D71F0A"/>
    <w:rsid w:val="00D71F25"/>
    <w:rsid w:val="00D71FD3"/>
    <w:rsid w:val="00D72A9C"/>
    <w:rsid w:val="00D77031"/>
    <w:rsid w:val="00D84941"/>
    <w:rsid w:val="00D84FA1"/>
    <w:rsid w:val="00D851F0"/>
    <w:rsid w:val="00D86DB7"/>
    <w:rsid w:val="00D926D0"/>
    <w:rsid w:val="00D93030"/>
    <w:rsid w:val="00D930CF"/>
    <w:rsid w:val="00D950E1"/>
    <w:rsid w:val="00D952A6"/>
    <w:rsid w:val="00D9627F"/>
    <w:rsid w:val="00D9641D"/>
    <w:rsid w:val="00D96BAB"/>
    <w:rsid w:val="00D96C7C"/>
    <w:rsid w:val="00D97F99"/>
    <w:rsid w:val="00DA1E08"/>
    <w:rsid w:val="00DA24F8"/>
    <w:rsid w:val="00DA28E8"/>
    <w:rsid w:val="00DA38D3"/>
    <w:rsid w:val="00DA3932"/>
    <w:rsid w:val="00DA3AFC"/>
    <w:rsid w:val="00DA64F8"/>
    <w:rsid w:val="00DA6C15"/>
    <w:rsid w:val="00DA6F29"/>
    <w:rsid w:val="00DB0258"/>
    <w:rsid w:val="00DB38EE"/>
    <w:rsid w:val="00DB398B"/>
    <w:rsid w:val="00DB498B"/>
    <w:rsid w:val="00DB66CA"/>
    <w:rsid w:val="00DB6BCA"/>
    <w:rsid w:val="00DB73F7"/>
    <w:rsid w:val="00DC0321"/>
    <w:rsid w:val="00DC3067"/>
    <w:rsid w:val="00DC370B"/>
    <w:rsid w:val="00DC5B90"/>
    <w:rsid w:val="00DC649B"/>
    <w:rsid w:val="00DD00FF"/>
    <w:rsid w:val="00DD0619"/>
    <w:rsid w:val="00DD07FB"/>
    <w:rsid w:val="00DD25C6"/>
    <w:rsid w:val="00DD4FE5"/>
    <w:rsid w:val="00DD54B0"/>
    <w:rsid w:val="00DD57EE"/>
    <w:rsid w:val="00DD6BCC"/>
    <w:rsid w:val="00DD7AE7"/>
    <w:rsid w:val="00DE0A4B"/>
    <w:rsid w:val="00DE1FE1"/>
    <w:rsid w:val="00DE2410"/>
    <w:rsid w:val="00DE2939"/>
    <w:rsid w:val="00DE6E81"/>
    <w:rsid w:val="00DE703F"/>
    <w:rsid w:val="00DE7595"/>
    <w:rsid w:val="00DF1961"/>
    <w:rsid w:val="00DF3DAB"/>
    <w:rsid w:val="00DF44DE"/>
    <w:rsid w:val="00DF5F11"/>
    <w:rsid w:val="00E0018F"/>
    <w:rsid w:val="00E01138"/>
    <w:rsid w:val="00E021AF"/>
    <w:rsid w:val="00E02DFB"/>
    <w:rsid w:val="00E030F9"/>
    <w:rsid w:val="00E0311A"/>
    <w:rsid w:val="00E03138"/>
    <w:rsid w:val="00E06404"/>
    <w:rsid w:val="00E115AD"/>
    <w:rsid w:val="00E11A85"/>
    <w:rsid w:val="00E1228B"/>
    <w:rsid w:val="00E12495"/>
    <w:rsid w:val="00E139D0"/>
    <w:rsid w:val="00E14B9D"/>
    <w:rsid w:val="00E15999"/>
    <w:rsid w:val="00E15CCD"/>
    <w:rsid w:val="00E202EF"/>
    <w:rsid w:val="00E210B5"/>
    <w:rsid w:val="00E215BF"/>
    <w:rsid w:val="00E23D99"/>
    <w:rsid w:val="00E2552F"/>
    <w:rsid w:val="00E27E4E"/>
    <w:rsid w:val="00E3137A"/>
    <w:rsid w:val="00E32CCF"/>
    <w:rsid w:val="00E34A98"/>
    <w:rsid w:val="00E34C97"/>
    <w:rsid w:val="00E35D1E"/>
    <w:rsid w:val="00E364F9"/>
    <w:rsid w:val="00E365FA"/>
    <w:rsid w:val="00E36789"/>
    <w:rsid w:val="00E378D2"/>
    <w:rsid w:val="00E433FD"/>
    <w:rsid w:val="00E44A83"/>
    <w:rsid w:val="00E502C1"/>
    <w:rsid w:val="00E502DD"/>
    <w:rsid w:val="00E50D3A"/>
    <w:rsid w:val="00E51387"/>
    <w:rsid w:val="00E51E68"/>
    <w:rsid w:val="00E52EFD"/>
    <w:rsid w:val="00E5408A"/>
    <w:rsid w:val="00E542F7"/>
    <w:rsid w:val="00E56800"/>
    <w:rsid w:val="00E56A96"/>
    <w:rsid w:val="00E602E6"/>
    <w:rsid w:val="00E60A96"/>
    <w:rsid w:val="00E60C63"/>
    <w:rsid w:val="00E62FF9"/>
    <w:rsid w:val="00E635D6"/>
    <w:rsid w:val="00E639BC"/>
    <w:rsid w:val="00E664CC"/>
    <w:rsid w:val="00E70388"/>
    <w:rsid w:val="00E70F92"/>
    <w:rsid w:val="00E72B41"/>
    <w:rsid w:val="00E74C54"/>
    <w:rsid w:val="00E75E0F"/>
    <w:rsid w:val="00E77A03"/>
    <w:rsid w:val="00E77AFB"/>
    <w:rsid w:val="00E822E8"/>
    <w:rsid w:val="00E82554"/>
    <w:rsid w:val="00E82606"/>
    <w:rsid w:val="00E846C8"/>
    <w:rsid w:val="00E84957"/>
    <w:rsid w:val="00E84A55"/>
    <w:rsid w:val="00E85BFF"/>
    <w:rsid w:val="00E86FE5"/>
    <w:rsid w:val="00E90391"/>
    <w:rsid w:val="00E906C2"/>
    <w:rsid w:val="00E910CF"/>
    <w:rsid w:val="00E9311F"/>
    <w:rsid w:val="00E934D1"/>
    <w:rsid w:val="00E94AF0"/>
    <w:rsid w:val="00E95D13"/>
    <w:rsid w:val="00E95DD3"/>
    <w:rsid w:val="00E969D5"/>
    <w:rsid w:val="00EA4135"/>
    <w:rsid w:val="00EA58D1"/>
    <w:rsid w:val="00EA61BC"/>
    <w:rsid w:val="00EA668C"/>
    <w:rsid w:val="00EA681A"/>
    <w:rsid w:val="00EA6A3A"/>
    <w:rsid w:val="00EA735B"/>
    <w:rsid w:val="00EB17DE"/>
    <w:rsid w:val="00EB1E69"/>
    <w:rsid w:val="00EB2086"/>
    <w:rsid w:val="00EB5ACA"/>
    <w:rsid w:val="00EB5EDF"/>
    <w:rsid w:val="00EB60FE"/>
    <w:rsid w:val="00EB74DB"/>
    <w:rsid w:val="00EC47C2"/>
    <w:rsid w:val="00EC5359"/>
    <w:rsid w:val="00EC562A"/>
    <w:rsid w:val="00EC5A5F"/>
    <w:rsid w:val="00ED067A"/>
    <w:rsid w:val="00ED2B50"/>
    <w:rsid w:val="00ED6745"/>
    <w:rsid w:val="00EE0350"/>
    <w:rsid w:val="00EE0719"/>
    <w:rsid w:val="00EE0E80"/>
    <w:rsid w:val="00EE54A6"/>
    <w:rsid w:val="00EE5A7B"/>
    <w:rsid w:val="00EE613F"/>
    <w:rsid w:val="00EE7295"/>
    <w:rsid w:val="00EE7869"/>
    <w:rsid w:val="00EE7A56"/>
    <w:rsid w:val="00EF054A"/>
    <w:rsid w:val="00EF3235"/>
    <w:rsid w:val="00EF5913"/>
    <w:rsid w:val="00EF7E72"/>
    <w:rsid w:val="00F01DD5"/>
    <w:rsid w:val="00F06D37"/>
    <w:rsid w:val="00F07B9D"/>
    <w:rsid w:val="00F11586"/>
    <w:rsid w:val="00F1183B"/>
    <w:rsid w:val="00F11C9F"/>
    <w:rsid w:val="00F12263"/>
    <w:rsid w:val="00F1409D"/>
    <w:rsid w:val="00F14214"/>
    <w:rsid w:val="00F149C3"/>
    <w:rsid w:val="00F157A9"/>
    <w:rsid w:val="00F16841"/>
    <w:rsid w:val="00F24C30"/>
    <w:rsid w:val="00F25BB6"/>
    <w:rsid w:val="00F25BF4"/>
    <w:rsid w:val="00F26B7E"/>
    <w:rsid w:val="00F27A3B"/>
    <w:rsid w:val="00F31269"/>
    <w:rsid w:val="00F32923"/>
    <w:rsid w:val="00F33817"/>
    <w:rsid w:val="00F33B55"/>
    <w:rsid w:val="00F35964"/>
    <w:rsid w:val="00F372EC"/>
    <w:rsid w:val="00F420D5"/>
    <w:rsid w:val="00F4295E"/>
    <w:rsid w:val="00F451EA"/>
    <w:rsid w:val="00F45447"/>
    <w:rsid w:val="00F456C6"/>
    <w:rsid w:val="00F4577B"/>
    <w:rsid w:val="00F46496"/>
    <w:rsid w:val="00F474D0"/>
    <w:rsid w:val="00F50179"/>
    <w:rsid w:val="00F515EE"/>
    <w:rsid w:val="00F51E8A"/>
    <w:rsid w:val="00F56511"/>
    <w:rsid w:val="00F6194E"/>
    <w:rsid w:val="00F623AC"/>
    <w:rsid w:val="00F63FE4"/>
    <w:rsid w:val="00F6412A"/>
    <w:rsid w:val="00F6440E"/>
    <w:rsid w:val="00F65893"/>
    <w:rsid w:val="00F666DB"/>
    <w:rsid w:val="00F66A4A"/>
    <w:rsid w:val="00F67284"/>
    <w:rsid w:val="00F71E22"/>
    <w:rsid w:val="00F72142"/>
    <w:rsid w:val="00F72AE7"/>
    <w:rsid w:val="00F73015"/>
    <w:rsid w:val="00F81141"/>
    <w:rsid w:val="00F81204"/>
    <w:rsid w:val="00F833BA"/>
    <w:rsid w:val="00F84FD0"/>
    <w:rsid w:val="00F859A8"/>
    <w:rsid w:val="00F86D87"/>
    <w:rsid w:val="00F9108B"/>
    <w:rsid w:val="00F91349"/>
    <w:rsid w:val="00F9146F"/>
    <w:rsid w:val="00F93A8A"/>
    <w:rsid w:val="00F95248"/>
    <w:rsid w:val="00F956A9"/>
    <w:rsid w:val="00F963ED"/>
    <w:rsid w:val="00F966CF"/>
    <w:rsid w:val="00F96CAE"/>
    <w:rsid w:val="00F97C99"/>
    <w:rsid w:val="00F97DC6"/>
    <w:rsid w:val="00FA0F4D"/>
    <w:rsid w:val="00FA4DAC"/>
    <w:rsid w:val="00FA656A"/>
    <w:rsid w:val="00FA662D"/>
    <w:rsid w:val="00FA7346"/>
    <w:rsid w:val="00FA73B1"/>
    <w:rsid w:val="00FA7626"/>
    <w:rsid w:val="00FA7642"/>
    <w:rsid w:val="00FB014D"/>
    <w:rsid w:val="00FB0CB9"/>
    <w:rsid w:val="00FB231D"/>
    <w:rsid w:val="00FB31EF"/>
    <w:rsid w:val="00FB45F1"/>
    <w:rsid w:val="00FB4A72"/>
    <w:rsid w:val="00FB54E8"/>
    <w:rsid w:val="00FB7054"/>
    <w:rsid w:val="00FC17B7"/>
    <w:rsid w:val="00FC2CB7"/>
    <w:rsid w:val="00FC37B5"/>
    <w:rsid w:val="00FC4090"/>
    <w:rsid w:val="00FC55B4"/>
    <w:rsid w:val="00FD00E6"/>
    <w:rsid w:val="00FD09A1"/>
    <w:rsid w:val="00FD2A7C"/>
    <w:rsid w:val="00FD31E0"/>
    <w:rsid w:val="00FD565E"/>
    <w:rsid w:val="00FD59EB"/>
    <w:rsid w:val="00FD7299"/>
    <w:rsid w:val="00FE1FBE"/>
    <w:rsid w:val="00FE250A"/>
    <w:rsid w:val="00FE3901"/>
    <w:rsid w:val="00FE39D3"/>
    <w:rsid w:val="00FE415F"/>
    <w:rsid w:val="00FE4BCE"/>
    <w:rsid w:val="00FE54AE"/>
    <w:rsid w:val="00FE576A"/>
    <w:rsid w:val="00FE7E79"/>
    <w:rsid w:val="00FF3DF0"/>
    <w:rsid w:val="00FF3E7D"/>
    <w:rsid w:val="00FF5B99"/>
    <w:rsid w:val="00FF5C75"/>
    <w:rsid w:val="00FF730C"/>
    <w:rsid w:val="00FF73F4"/>
    <w:rsid w:val="00FF7CE4"/>
    <w:rsid w:val="00FF7E39"/>
    <w:rsid w:val="01CA63A7"/>
    <w:rsid w:val="0204431A"/>
    <w:rsid w:val="022F67E1"/>
    <w:rsid w:val="02523B07"/>
    <w:rsid w:val="02777BFD"/>
    <w:rsid w:val="027A149C"/>
    <w:rsid w:val="032448BE"/>
    <w:rsid w:val="03A7276C"/>
    <w:rsid w:val="03E00BE2"/>
    <w:rsid w:val="045416C8"/>
    <w:rsid w:val="04A907D2"/>
    <w:rsid w:val="04AD1CC8"/>
    <w:rsid w:val="051B6ABC"/>
    <w:rsid w:val="05224264"/>
    <w:rsid w:val="053578FC"/>
    <w:rsid w:val="0577359A"/>
    <w:rsid w:val="058B4E10"/>
    <w:rsid w:val="062B48CF"/>
    <w:rsid w:val="06315E20"/>
    <w:rsid w:val="06622FDE"/>
    <w:rsid w:val="06CD24E2"/>
    <w:rsid w:val="06D00138"/>
    <w:rsid w:val="07203EA3"/>
    <w:rsid w:val="074B48CC"/>
    <w:rsid w:val="076B113D"/>
    <w:rsid w:val="078269E2"/>
    <w:rsid w:val="07855A22"/>
    <w:rsid w:val="07DB5933"/>
    <w:rsid w:val="085F4029"/>
    <w:rsid w:val="090A4F39"/>
    <w:rsid w:val="092B44F9"/>
    <w:rsid w:val="09730E8F"/>
    <w:rsid w:val="098812EC"/>
    <w:rsid w:val="09A23EA3"/>
    <w:rsid w:val="09C970FE"/>
    <w:rsid w:val="0AC57343"/>
    <w:rsid w:val="0B780169"/>
    <w:rsid w:val="0B7808C8"/>
    <w:rsid w:val="0BF56037"/>
    <w:rsid w:val="0C0F39DA"/>
    <w:rsid w:val="0C1F4E62"/>
    <w:rsid w:val="0CCA0F1D"/>
    <w:rsid w:val="0D7227EE"/>
    <w:rsid w:val="0D995F5C"/>
    <w:rsid w:val="0DD849B9"/>
    <w:rsid w:val="0EB96D5A"/>
    <w:rsid w:val="0EBB1663"/>
    <w:rsid w:val="0EE40A4D"/>
    <w:rsid w:val="0FA24BDA"/>
    <w:rsid w:val="103A626F"/>
    <w:rsid w:val="10527522"/>
    <w:rsid w:val="10F148C0"/>
    <w:rsid w:val="115D72EA"/>
    <w:rsid w:val="1163255B"/>
    <w:rsid w:val="11641343"/>
    <w:rsid w:val="126B29FB"/>
    <w:rsid w:val="126E50A6"/>
    <w:rsid w:val="12745F08"/>
    <w:rsid w:val="12890412"/>
    <w:rsid w:val="12C609D2"/>
    <w:rsid w:val="133D1134"/>
    <w:rsid w:val="140432BB"/>
    <w:rsid w:val="140B03F9"/>
    <w:rsid w:val="14BD002F"/>
    <w:rsid w:val="153B40D2"/>
    <w:rsid w:val="15A766AE"/>
    <w:rsid w:val="15FA6724"/>
    <w:rsid w:val="161B6447"/>
    <w:rsid w:val="169B5101"/>
    <w:rsid w:val="17085FE1"/>
    <w:rsid w:val="17800EAB"/>
    <w:rsid w:val="179521CC"/>
    <w:rsid w:val="17AE3C6A"/>
    <w:rsid w:val="17E02E00"/>
    <w:rsid w:val="17E70F2A"/>
    <w:rsid w:val="181F1822"/>
    <w:rsid w:val="18291D43"/>
    <w:rsid w:val="189B4869"/>
    <w:rsid w:val="18BC257C"/>
    <w:rsid w:val="1909279A"/>
    <w:rsid w:val="19364F52"/>
    <w:rsid w:val="195A487D"/>
    <w:rsid w:val="19FF385E"/>
    <w:rsid w:val="1A74451A"/>
    <w:rsid w:val="1A815EF1"/>
    <w:rsid w:val="1A8B2040"/>
    <w:rsid w:val="1A90594E"/>
    <w:rsid w:val="1B504992"/>
    <w:rsid w:val="1B5D7D38"/>
    <w:rsid w:val="1B85452A"/>
    <w:rsid w:val="1C246175"/>
    <w:rsid w:val="1D6B6712"/>
    <w:rsid w:val="1D9A5520"/>
    <w:rsid w:val="1F7F7E69"/>
    <w:rsid w:val="1FD52DF3"/>
    <w:rsid w:val="20225656"/>
    <w:rsid w:val="20334A2C"/>
    <w:rsid w:val="20353D74"/>
    <w:rsid w:val="20994D8B"/>
    <w:rsid w:val="20F50EE2"/>
    <w:rsid w:val="20F94450"/>
    <w:rsid w:val="21247E82"/>
    <w:rsid w:val="21645399"/>
    <w:rsid w:val="21F3036C"/>
    <w:rsid w:val="227D1AF1"/>
    <w:rsid w:val="22881E82"/>
    <w:rsid w:val="229826D9"/>
    <w:rsid w:val="22BF646D"/>
    <w:rsid w:val="232E4846"/>
    <w:rsid w:val="2374053A"/>
    <w:rsid w:val="238A4A63"/>
    <w:rsid w:val="2399306F"/>
    <w:rsid w:val="23EF3A75"/>
    <w:rsid w:val="244828D1"/>
    <w:rsid w:val="247F5280"/>
    <w:rsid w:val="24B63354"/>
    <w:rsid w:val="252179FA"/>
    <w:rsid w:val="252D615E"/>
    <w:rsid w:val="255F2A47"/>
    <w:rsid w:val="2574470D"/>
    <w:rsid w:val="26AB3711"/>
    <w:rsid w:val="26E13994"/>
    <w:rsid w:val="270C52A9"/>
    <w:rsid w:val="272E26D1"/>
    <w:rsid w:val="276A791B"/>
    <w:rsid w:val="276C572C"/>
    <w:rsid w:val="276D1C8F"/>
    <w:rsid w:val="276F7789"/>
    <w:rsid w:val="28447239"/>
    <w:rsid w:val="2AEB7B67"/>
    <w:rsid w:val="2AFC27C2"/>
    <w:rsid w:val="2B1428E5"/>
    <w:rsid w:val="2B393102"/>
    <w:rsid w:val="2BB90BAA"/>
    <w:rsid w:val="2BEB7AD7"/>
    <w:rsid w:val="2C283C0E"/>
    <w:rsid w:val="2C5D1AC1"/>
    <w:rsid w:val="2C713AFC"/>
    <w:rsid w:val="2C7917FF"/>
    <w:rsid w:val="2CEB5BB4"/>
    <w:rsid w:val="2D0D2D89"/>
    <w:rsid w:val="2D5644CB"/>
    <w:rsid w:val="2D5A02E9"/>
    <w:rsid w:val="2D79798E"/>
    <w:rsid w:val="2DB42E5B"/>
    <w:rsid w:val="2E4342E2"/>
    <w:rsid w:val="2EE32B48"/>
    <w:rsid w:val="2F106B60"/>
    <w:rsid w:val="2FAB10B0"/>
    <w:rsid w:val="2FF31539"/>
    <w:rsid w:val="308450EE"/>
    <w:rsid w:val="31034648"/>
    <w:rsid w:val="31090A39"/>
    <w:rsid w:val="312517C4"/>
    <w:rsid w:val="31886AE6"/>
    <w:rsid w:val="31AB2131"/>
    <w:rsid w:val="31D92FD1"/>
    <w:rsid w:val="321C6F87"/>
    <w:rsid w:val="321D4C62"/>
    <w:rsid w:val="323F2D92"/>
    <w:rsid w:val="32575DA3"/>
    <w:rsid w:val="32F22ACC"/>
    <w:rsid w:val="33005AEA"/>
    <w:rsid w:val="33045347"/>
    <w:rsid w:val="336633EE"/>
    <w:rsid w:val="33707BCD"/>
    <w:rsid w:val="33BA5704"/>
    <w:rsid w:val="33EC4351"/>
    <w:rsid w:val="341862D2"/>
    <w:rsid w:val="345379A4"/>
    <w:rsid w:val="34D21A98"/>
    <w:rsid w:val="34F00131"/>
    <w:rsid w:val="34FB5522"/>
    <w:rsid w:val="35C27548"/>
    <w:rsid w:val="361B416E"/>
    <w:rsid w:val="365D7011"/>
    <w:rsid w:val="36732E6B"/>
    <w:rsid w:val="37123AB5"/>
    <w:rsid w:val="37490915"/>
    <w:rsid w:val="374B7A50"/>
    <w:rsid w:val="37FF5638"/>
    <w:rsid w:val="3824364B"/>
    <w:rsid w:val="382513DD"/>
    <w:rsid w:val="382C1E70"/>
    <w:rsid w:val="384C575E"/>
    <w:rsid w:val="384F74BE"/>
    <w:rsid w:val="389D108C"/>
    <w:rsid w:val="395E1749"/>
    <w:rsid w:val="396974A7"/>
    <w:rsid w:val="398E38F4"/>
    <w:rsid w:val="3A77411C"/>
    <w:rsid w:val="3A9039C2"/>
    <w:rsid w:val="3AA90ACE"/>
    <w:rsid w:val="3BCB453B"/>
    <w:rsid w:val="3CF3094E"/>
    <w:rsid w:val="3D0E7015"/>
    <w:rsid w:val="3DCD5DD2"/>
    <w:rsid w:val="3E7E4E08"/>
    <w:rsid w:val="3E863F66"/>
    <w:rsid w:val="3E9D72F5"/>
    <w:rsid w:val="3EE950AF"/>
    <w:rsid w:val="3EEE1E81"/>
    <w:rsid w:val="3EF92944"/>
    <w:rsid w:val="3F7D346F"/>
    <w:rsid w:val="3FA57EF3"/>
    <w:rsid w:val="3FCB65F8"/>
    <w:rsid w:val="3FE67B95"/>
    <w:rsid w:val="40891BF6"/>
    <w:rsid w:val="40CB1D3B"/>
    <w:rsid w:val="4102529C"/>
    <w:rsid w:val="41055114"/>
    <w:rsid w:val="415A087B"/>
    <w:rsid w:val="42351FA4"/>
    <w:rsid w:val="42960777"/>
    <w:rsid w:val="42996893"/>
    <w:rsid w:val="429E1785"/>
    <w:rsid w:val="437E6337"/>
    <w:rsid w:val="43AB7D5C"/>
    <w:rsid w:val="43B90306"/>
    <w:rsid w:val="43D778E9"/>
    <w:rsid w:val="44591B84"/>
    <w:rsid w:val="44631C22"/>
    <w:rsid w:val="4472401B"/>
    <w:rsid w:val="44C10196"/>
    <w:rsid w:val="44CE7869"/>
    <w:rsid w:val="44E57938"/>
    <w:rsid w:val="44F723C7"/>
    <w:rsid w:val="452E7C1D"/>
    <w:rsid w:val="453C4F03"/>
    <w:rsid w:val="457E4E0E"/>
    <w:rsid w:val="45EA39E4"/>
    <w:rsid w:val="467E4ED9"/>
    <w:rsid w:val="46D93158"/>
    <w:rsid w:val="46E930D4"/>
    <w:rsid w:val="475F0407"/>
    <w:rsid w:val="479B3763"/>
    <w:rsid w:val="479B5D08"/>
    <w:rsid w:val="47BF2F0A"/>
    <w:rsid w:val="48073E8D"/>
    <w:rsid w:val="484E53A6"/>
    <w:rsid w:val="4874179A"/>
    <w:rsid w:val="48743888"/>
    <w:rsid w:val="48A05012"/>
    <w:rsid w:val="48AE6D76"/>
    <w:rsid w:val="48B2767A"/>
    <w:rsid w:val="48E42798"/>
    <w:rsid w:val="497B72B8"/>
    <w:rsid w:val="4A993A56"/>
    <w:rsid w:val="4AAE66B9"/>
    <w:rsid w:val="4ADB3F9A"/>
    <w:rsid w:val="4B3E5118"/>
    <w:rsid w:val="4BBB220E"/>
    <w:rsid w:val="4C0B6A61"/>
    <w:rsid w:val="4CD0582E"/>
    <w:rsid w:val="4CE97CBC"/>
    <w:rsid w:val="4D037E68"/>
    <w:rsid w:val="4D2409BE"/>
    <w:rsid w:val="4DBC7012"/>
    <w:rsid w:val="4DCB1D7B"/>
    <w:rsid w:val="4E1D3C65"/>
    <w:rsid w:val="4E697103"/>
    <w:rsid w:val="4E98088C"/>
    <w:rsid w:val="4F1E36B8"/>
    <w:rsid w:val="4F975F2A"/>
    <w:rsid w:val="4FAA2D7A"/>
    <w:rsid w:val="4FF0236A"/>
    <w:rsid w:val="500B4D13"/>
    <w:rsid w:val="502A0F4A"/>
    <w:rsid w:val="503C6D48"/>
    <w:rsid w:val="506F39F0"/>
    <w:rsid w:val="50C41D15"/>
    <w:rsid w:val="512B296C"/>
    <w:rsid w:val="519C21AA"/>
    <w:rsid w:val="51A0022C"/>
    <w:rsid w:val="51D26D97"/>
    <w:rsid w:val="51D908FF"/>
    <w:rsid w:val="52226B94"/>
    <w:rsid w:val="523C4AEE"/>
    <w:rsid w:val="52F545E6"/>
    <w:rsid w:val="52F7518F"/>
    <w:rsid w:val="53360F60"/>
    <w:rsid w:val="5345199C"/>
    <w:rsid w:val="53813D88"/>
    <w:rsid w:val="53F73CC7"/>
    <w:rsid w:val="54315DA6"/>
    <w:rsid w:val="54AB70EB"/>
    <w:rsid w:val="54D14731"/>
    <w:rsid w:val="5549583F"/>
    <w:rsid w:val="55B21B55"/>
    <w:rsid w:val="55E90978"/>
    <w:rsid w:val="55F14475"/>
    <w:rsid w:val="55FD30EB"/>
    <w:rsid w:val="565B09BB"/>
    <w:rsid w:val="57454278"/>
    <w:rsid w:val="577D0C11"/>
    <w:rsid w:val="57A37DB2"/>
    <w:rsid w:val="58210B38"/>
    <w:rsid w:val="585C6B9F"/>
    <w:rsid w:val="58927B08"/>
    <w:rsid w:val="596A0289"/>
    <w:rsid w:val="5A251F53"/>
    <w:rsid w:val="5A276F81"/>
    <w:rsid w:val="5A9C5F27"/>
    <w:rsid w:val="5ACE3AA2"/>
    <w:rsid w:val="5B7C3903"/>
    <w:rsid w:val="5B904E39"/>
    <w:rsid w:val="5C137226"/>
    <w:rsid w:val="5C6046CE"/>
    <w:rsid w:val="5C797243"/>
    <w:rsid w:val="5C9114BE"/>
    <w:rsid w:val="5C9C5DB9"/>
    <w:rsid w:val="5D4212FB"/>
    <w:rsid w:val="5DE34D29"/>
    <w:rsid w:val="5E444EDC"/>
    <w:rsid w:val="5E660B2B"/>
    <w:rsid w:val="5EA62EA0"/>
    <w:rsid w:val="5EEC0146"/>
    <w:rsid w:val="5F051951"/>
    <w:rsid w:val="5F66666A"/>
    <w:rsid w:val="5FAC43F1"/>
    <w:rsid w:val="5FF87418"/>
    <w:rsid w:val="609A4358"/>
    <w:rsid w:val="609D2DE7"/>
    <w:rsid w:val="609F65A9"/>
    <w:rsid w:val="60AC5ADF"/>
    <w:rsid w:val="61D855F2"/>
    <w:rsid w:val="63004926"/>
    <w:rsid w:val="63076C15"/>
    <w:rsid w:val="634426E2"/>
    <w:rsid w:val="635764EE"/>
    <w:rsid w:val="63821C4F"/>
    <w:rsid w:val="63A00C64"/>
    <w:rsid w:val="63CB4828"/>
    <w:rsid w:val="63FF0FC8"/>
    <w:rsid w:val="645076E5"/>
    <w:rsid w:val="64A54380"/>
    <w:rsid w:val="64C3643B"/>
    <w:rsid w:val="660D6480"/>
    <w:rsid w:val="66D01003"/>
    <w:rsid w:val="66D511DD"/>
    <w:rsid w:val="66E12C28"/>
    <w:rsid w:val="67070FD0"/>
    <w:rsid w:val="67390E15"/>
    <w:rsid w:val="673F7A07"/>
    <w:rsid w:val="675D7075"/>
    <w:rsid w:val="679E6DB3"/>
    <w:rsid w:val="67B304D6"/>
    <w:rsid w:val="67D439E5"/>
    <w:rsid w:val="67E75368"/>
    <w:rsid w:val="67FA392E"/>
    <w:rsid w:val="68757EDF"/>
    <w:rsid w:val="68865F8A"/>
    <w:rsid w:val="689C5261"/>
    <w:rsid w:val="68BC5088"/>
    <w:rsid w:val="68C0080C"/>
    <w:rsid w:val="694E3BC3"/>
    <w:rsid w:val="69D8798C"/>
    <w:rsid w:val="6A2628D1"/>
    <w:rsid w:val="6A3425D8"/>
    <w:rsid w:val="6A39608A"/>
    <w:rsid w:val="6B734588"/>
    <w:rsid w:val="6B784C1A"/>
    <w:rsid w:val="6B7C0807"/>
    <w:rsid w:val="6BE26BB3"/>
    <w:rsid w:val="6C150D37"/>
    <w:rsid w:val="6C366C1F"/>
    <w:rsid w:val="6C7F7E49"/>
    <w:rsid w:val="6C8D4D71"/>
    <w:rsid w:val="6D3078CD"/>
    <w:rsid w:val="6D404922"/>
    <w:rsid w:val="6D6F5F1B"/>
    <w:rsid w:val="6DAF2648"/>
    <w:rsid w:val="6DBC5139"/>
    <w:rsid w:val="6DD171D1"/>
    <w:rsid w:val="6DF14E7E"/>
    <w:rsid w:val="6E075319"/>
    <w:rsid w:val="6E31580F"/>
    <w:rsid w:val="6E887792"/>
    <w:rsid w:val="6EEE310C"/>
    <w:rsid w:val="6F07773B"/>
    <w:rsid w:val="6F0A3645"/>
    <w:rsid w:val="6F4A0592"/>
    <w:rsid w:val="6F922B44"/>
    <w:rsid w:val="6F984159"/>
    <w:rsid w:val="6FF9271D"/>
    <w:rsid w:val="7034578A"/>
    <w:rsid w:val="70B72CC0"/>
    <w:rsid w:val="70EE0A2C"/>
    <w:rsid w:val="713559D7"/>
    <w:rsid w:val="71EC683E"/>
    <w:rsid w:val="721D603B"/>
    <w:rsid w:val="7258248A"/>
    <w:rsid w:val="726F7ACC"/>
    <w:rsid w:val="72D11E05"/>
    <w:rsid w:val="72F766CE"/>
    <w:rsid w:val="73914A41"/>
    <w:rsid w:val="73B47087"/>
    <w:rsid w:val="73BB61C1"/>
    <w:rsid w:val="741A3E85"/>
    <w:rsid w:val="741C6F7D"/>
    <w:rsid w:val="74AF3087"/>
    <w:rsid w:val="74F63E19"/>
    <w:rsid w:val="75260653"/>
    <w:rsid w:val="754A433D"/>
    <w:rsid w:val="75592937"/>
    <w:rsid w:val="758827B0"/>
    <w:rsid w:val="759F3B49"/>
    <w:rsid w:val="75C24DFB"/>
    <w:rsid w:val="76870A83"/>
    <w:rsid w:val="7687458D"/>
    <w:rsid w:val="77075720"/>
    <w:rsid w:val="771C29C5"/>
    <w:rsid w:val="7740193F"/>
    <w:rsid w:val="77482AFD"/>
    <w:rsid w:val="78191A00"/>
    <w:rsid w:val="78AE5BF5"/>
    <w:rsid w:val="79002B0B"/>
    <w:rsid w:val="793E5B57"/>
    <w:rsid w:val="796A733B"/>
    <w:rsid w:val="796E7CD8"/>
    <w:rsid w:val="7B5C504B"/>
    <w:rsid w:val="7B5D74BF"/>
    <w:rsid w:val="7B6178B0"/>
    <w:rsid w:val="7BAB4A6E"/>
    <w:rsid w:val="7BBA0112"/>
    <w:rsid w:val="7BBA2C2B"/>
    <w:rsid w:val="7BBD7A26"/>
    <w:rsid w:val="7BF06CCA"/>
    <w:rsid w:val="7C877FB8"/>
    <w:rsid w:val="7C8E447B"/>
    <w:rsid w:val="7C8F186D"/>
    <w:rsid w:val="7CD81943"/>
    <w:rsid w:val="7CD91FCC"/>
    <w:rsid w:val="7CE06016"/>
    <w:rsid w:val="7CF3054E"/>
    <w:rsid w:val="7D404DE7"/>
    <w:rsid w:val="7D892E67"/>
    <w:rsid w:val="7DC409A9"/>
    <w:rsid w:val="7DF509C8"/>
    <w:rsid w:val="7E2E5253"/>
    <w:rsid w:val="7E6D2FCD"/>
    <w:rsid w:val="7E8B45FD"/>
    <w:rsid w:val="7EC14B12"/>
    <w:rsid w:val="7F152809"/>
    <w:rsid w:val="7F8F2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7"/>
    <w:autoRedefine/>
    <w:qFormat/>
    <w:uiPriority w:val="0"/>
    <w:pPr>
      <w:keepNext/>
      <w:keepLines/>
      <w:spacing w:line="240" w:lineRule="auto"/>
      <w:jc w:val="center"/>
      <w:outlineLvl w:val="3"/>
    </w:pPr>
    <w:rPr>
      <w:rFonts w:ascii="Arial" w:hAnsi="Arial" w:eastAsia="黑体"/>
      <w:bCs/>
      <w:szCs w:val="28"/>
    </w:rPr>
  </w:style>
  <w:style w:type="paragraph" w:styleId="6">
    <w:name w:val="heading 5"/>
    <w:basedOn w:val="1"/>
    <w:next w:val="1"/>
    <w:link w:val="4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5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5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52"/>
    <w:autoRedefine/>
    <w:qFormat/>
    <w:uiPriority w:val="0"/>
    <w:pPr>
      <w:keepNext/>
      <w:keepLines/>
      <w:adjustRightInd/>
      <w:spacing w:before="240" w:after="64" w:line="320" w:lineRule="auto"/>
      <w:outlineLvl w:val="8"/>
    </w:pPr>
    <w:rPr>
      <w:rFonts w:ascii="Arial" w:hAnsi="Arial" w:eastAsia="黑体"/>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caption"/>
    <w:basedOn w:val="1"/>
    <w:next w:val="1"/>
    <w:autoRedefine/>
    <w:semiHidden/>
    <w:unhideWhenUsed/>
    <w:qFormat/>
    <w:uiPriority w:val="35"/>
    <w:rPr>
      <w:rFonts w:ascii="Arial" w:hAnsi="Arial" w:eastAsia="黑体" w:cstheme="minorBidi"/>
      <w:sz w:val="20"/>
      <w:szCs w:val="22"/>
    </w:rPr>
  </w:style>
  <w:style w:type="paragraph" w:styleId="14">
    <w:name w:val="annotation text"/>
    <w:basedOn w:val="1"/>
    <w:semiHidden/>
    <w:unhideWhenUsed/>
    <w:qFormat/>
    <w:uiPriority w:val="99"/>
    <w:pPr>
      <w:jc w:val="left"/>
    </w:pPr>
  </w:style>
  <w:style w:type="paragraph" w:styleId="15">
    <w:name w:val="Body Text"/>
    <w:basedOn w:val="1"/>
    <w:link w:val="96"/>
    <w:autoRedefine/>
    <w:qFormat/>
    <w:uiPriority w:val="0"/>
    <w:pPr>
      <w:spacing w:after="120"/>
    </w:pPr>
  </w:style>
  <w:style w:type="paragraph" w:styleId="16">
    <w:name w:val="Body Text Indent"/>
    <w:basedOn w:val="1"/>
    <w:qFormat/>
    <w:uiPriority w:val="0"/>
    <w:pPr>
      <w:ind w:firstLine="359" w:firstLineChars="171"/>
    </w:pPr>
    <w:rPr>
      <w:sz w:val="24"/>
      <w:szCs w:val="20"/>
    </w:rPr>
  </w:style>
  <w:style w:type="paragraph" w:styleId="17">
    <w:name w:val="toc 5"/>
    <w:basedOn w:val="1"/>
    <w:next w:val="1"/>
    <w:autoRedefine/>
    <w:unhideWhenUsed/>
    <w:qFormat/>
    <w:uiPriority w:val="39"/>
    <w:pPr>
      <w:ind w:left="839"/>
    </w:pPr>
    <w:rPr>
      <w:rFonts w:ascii="宋体"/>
    </w:rPr>
  </w:style>
  <w:style w:type="paragraph" w:styleId="18">
    <w:name w:val="toc 3"/>
    <w:basedOn w:val="1"/>
    <w:next w:val="1"/>
    <w:autoRedefine/>
    <w:unhideWhenUsed/>
    <w:qFormat/>
    <w:uiPriority w:val="39"/>
    <w:pPr>
      <w:spacing w:line="300" w:lineRule="exact"/>
      <w:ind w:left="420"/>
    </w:pPr>
    <w:rPr>
      <w:rFonts w:ascii="宋体"/>
    </w:rPr>
  </w:style>
  <w:style w:type="paragraph" w:styleId="19">
    <w:name w:val="Balloon Text"/>
    <w:basedOn w:val="1"/>
    <w:link w:val="55"/>
    <w:autoRedefine/>
    <w:semiHidden/>
    <w:unhideWhenUsed/>
    <w:qFormat/>
    <w:uiPriority w:val="99"/>
    <w:rPr>
      <w:sz w:val="18"/>
      <w:szCs w:val="18"/>
    </w:rPr>
  </w:style>
  <w:style w:type="paragraph" w:styleId="20">
    <w:name w:val="footer"/>
    <w:basedOn w:val="1"/>
    <w:link w:val="5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21">
    <w:name w:val="header"/>
    <w:basedOn w:val="1"/>
    <w:link w:val="53"/>
    <w:autoRedefine/>
    <w:qFormat/>
    <w:uiPriority w:val="99"/>
    <w:pPr>
      <w:tabs>
        <w:tab w:val="center" w:pos="4153"/>
        <w:tab w:val="right" w:pos="8306"/>
      </w:tabs>
      <w:adjustRightInd/>
      <w:snapToGrid w:val="0"/>
      <w:jc w:val="center"/>
    </w:pPr>
    <w:rPr>
      <w:sz w:val="18"/>
      <w:szCs w:val="18"/>
    </w:rPr>
  </w:style>
  <w:style w:type="paragraph" w:styleId="22">
    <w:name w:val="toc 1"/>
    <w:basedOn w:val="1"/>
    <w:next w:val="1"/>
    <w:autoRedefine/>
    <w:unhideWhenUsed/>
    <w:qFormat/>
    <w:uiPriority w:val="39"/>
    <w:rPr>
      <w:rFonts w:ascii="宋体"/>
    </w:rPr>
  </w:style>
  <w:style w:type="paragraph" w:styleId="23">
    <w:name w:val="toc 4"/>
    <w:basedOn w:val="1"/>
    <w:next w:val="1"/>
    <w:autoRedefine/>
    <w:unhideWhenUsed/>
    <w:qFormat/>
    <w:uiPriority w:val="39"/>
    <w:pPr>
      <w:tabs>
        <w:tab w:val="right" w:leader="dot" w:pos="9344"/>
      </w:tabs>
      <w:spacing w:line="300" w:lineRule="exact"/>
      <w:ind w:left="629"/>
    </w:pPr>
    <w:rPr>
      <w:rFonts w:ascii="宋体"/>
    </w:rPr>
  </w:style>
  <w:style w:type="paragraph" w:styleId="24">
    <w:name w:val="footnote text"/>
    <w:basedOn w:val="1"/>
    <w:link w:val="10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5">
    <w:name w:val="toc 6"/>
    <w:basedOn w:val="1"/>
    <w:next w:val="1"/>
    <w:autoRedefine/>
    <w:unhideWhenUsed/>
    <w:qFormat/>
    <w:uiPriority w:val="39"/>
    <w:pPr>
      <w:spacing w:line="300" w:lineRule="exact"/>
      <w:ind w:left="1049"/>
    </w:pPr>
    <w:rPr>
      <w:rFonts w:ascii="宋体"/>
    </w:rPr>
  </w:style>
  <w:style w:type="paragraph" w:styleId="26">
    <w:name w:val="table of figures"/>
    <w:basedOn w:val="1"/>
    <w:next w:val="1"/>
    <w:autoRedefine/>
    <w:semiHidden/>
    <w:qFormat/>
    <w:uiPriority w:val="0"/>
    <w:pPr>
      <w:adjustRightInd/>
      <w:spacing w:line="240" w:lineRule="auto"/>
      <w:jc w:val="left"/>
    </w:pPr>
    <w:rPr>
      <w:szCs w:val="24"/>
    </w:rPr>
  </w:style>
  <w:style w:type="paragraph" w:styleId="27">
    <w:name w:val="toc 2"/>
    <w:basedOn w:val="1"/>
    <w:next w:val="1"/>
    <w:autoRedefine/>
    <w:unhideWhenUsed/>
    <w:qFormat/>
    <w:uiPriority w:val="39"/>
    <w:pPr>
      <w:tabs>
        <w:tab w:val="right" w:leader="dot" w:pos="9344"/>
      </w:tabs>
      <w:spacing w:line="300" w:lineRule="exact"/>
      <w:ind w:left="210"/>
    </w:pPr>
    <w:rPr>
      <w:rFonts w:ascii="宋体"/>
    </w:rPr>
  </w:style>
  <w:style w:type="paragraph" w:styleId="28">
    <w:name w:val="Normal (Web)"/>
    <w:basedOn w:val="1"/>
    <w:autoRedefine/>
    <w:qFormat/>
    <w:uiPriority w:val="99"/>
    <w:pPr>
      <w:spacing w:beforeAutospacing="1" w:afterAutospacing="1"/>
      <w:jc w:val="left"/>
    </w:pPr>
    <w:rPr>
      <w:kern w:val="0"/>
    </w:rPr>
  </w:style>
  <w:style w:type="paragraph" w:styleId="29">
    <w:name w:val="Title"/>
    <w:basedOn w:val="1"/>
    <w:link w:val="58"/>
    <w:autoRedefine/>
    <w:qFormat/>
    <w:uiPriority w:val="0"/>
    <w:pPr>
      <w:spacing w:before="240" w:after="60"/>
      <w:jc w:val="center"/>
      <w:outlineLvl w:val="0"/>
    </w:pPr>
    <w:rPr>
      <w:rFonts w:ascii="Arial" w:hAnsi="Arial" w:cs="Arial"/>
      <w:b/>
      <w:bCs/>
      <w:sz w:val="32"/>
      <w:szCs w:val="32"/>
    </w:rPr>
  </w:style>
  <w:style w:type="paragraph" w:styleId="30">
    <w:name w:val="Body Text First Indent 2"/>
    <w:basedOn w:val="16"/>
    <w:unhideWhenUsed/>
    <w:qFormat/>
    <w:uiPriority w:val="99"/>
    <w:pPr>
      <w:adjustRightInd/>
      <w:spacing w:line="240" w:lineRule="auto"/>
      <w:ind w:firstLine="420" w:firstLineChars="200"/>
    </w:p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autoRedefine/>
    <w:qFormat/>
    <w:uiPriority w:val="22"/>
    <w:rPr>
      <w:b/>
      <w:bCs/>
    </w:rPr>
  </w:style>
  <w:style w:type="character" w:styleId="35">
    <w:name w:val="page number"/>
    <w:autoRedefine/>
    <w:qFormat/>
    <w:uiPriority w:val="0"/>
    <w:rPr>
      <w:rFonts w:ascii="宋体" w:hAnsi="Times New Roman" w:eastAsia="宋体"/>
      <w:sz w:val="18"/>
    </w:rPr>
  </w:style>
  <w:style w:type="character" w:styleId="36">
    <w:name w:val="Emphasis"/>
    <w:autoRedefine/>
    <w:qFormat/>
    <w:uiPriority w:val="20"/>
    <w:rPr>
      <w:i/>
      <w:iCs/>
    </w:rPr>
  </w:style>
  <w:style w:type="character" w:styleId="37">
    <w:name w:val="Hyperlink"/>
    <w:autoRedefine/>
    <w:qFormat/>
    <w:uiPriority w:val="99"/>
    <w:rPr>
      <w:rFonts w:ascii="宋体" w:hAnsi="Times New Roman" w:eastAsia="宋体"/>
      <w:color w:val="auto"/>
      <w:spacing w:val="0"/>
      <w:w w:val="100"/>
      <w:position w:val="0"/>
      <w:sz w:val="21"/>
      <w:u w:val="none"/>
      <w:vertAlign w:val="baseline"/>
    </w:rPr>
  </w:style>
  <w:style w:type="character" w:styleId="38">
    <w:name w:val="footnote reference"/>
    <w:autoRedefine/>
    <w:semiHidden/>
    <w:qFormat/>
    <w:uiPriority w:val="0"/>
    <w:rPr>
      <w:rFonts w:ascii="宋体" w:hAnsi="宋体" w:eastAsia="宋体" w:cs="Times New Roman"/>
      <w:spacing w:val="0"/>
      <w:sz w:val="18"/>
      <w:vertAlign w:val="superscript"/>
    </w:rPr>
  </w:style>
  <w:style w:type="paragraph" w:customStyle="1" w:styleId="39">
    <w:name w:val="二级条标题"/>
    <w:basedOn w:val="40"/>
    <w:next w:val="41"/>
    <w:qFormat/>
    <w:uiPriority w:val="0"/>
    <w:pPr>
      <w:numPr>
        <w:ilvl w:val="2"/>
        <w:numId w:val="1"/>
      </w:numPr>
      <w:spacing w:before="50" w:after="50"/>
      <w:outlineLvl w:val="3"/>
    </w:pPr>
  </w:style>
  <w:style w:type="paragraph" w:customStyle="1" w:styleId="40">
    <w:name w:val="一级条标题"/>
    <w:next w:val="41"/>
    <w:autoRedefine/>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41">
    <w:name w:val="段"/>
    <w:link w:val="240"/>
    <w:autoRedefine/>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42">
    <w:name w:val="章标题"/>
    <w:next w:val="41"/>
    <w:qFormat/>
    <w:uiPriority w:val="0"/>
    <w:pPr>
      <w:numPr>
        <w:ilvl w:val="0"/>
        <w:numId w:val="1"/>
      </w:numPr>
      <w:spacing w:beforeLines="100" w:afterLines="100"/>
      <w:jc w:val="both"/>
      <w:outlineLvl w:val="1"/>
    </w:pPr>
    <w:rPr>
      <w:rFonts w:ascii="黑体" w:hAnsi="Calibri" w:eastAsia="黑体" w:cs="Calibri"/>
      <w:sz w:val="21"/>
      <w:lang w:val="en-US" w:eastAsia="zh-CN" w:bidi="ar-SA"/>
    </w:rPr>
  </w:style>
  <w:style w:type="paragraph" w:customStyle="1" w:styleId="43">
    <w:name w:val="TOC1"/>
    <w:basedOn w:val="1"/>
    <w:next w:val="1"/>
    <w:autoRedefine/>
    <w:qFormat/>
    <w:uiPriority w:val="0"/>
    <w:pPr>
      <w:textAlignment w:val="baseline"/>
    </w:pPr>
  </w:style>
  <w:style w:type="character" w:customStyle="1" w:styleId="44">
    <w:name w:val="标题 1 字符"/>
    <w:link w:val="2"/>
    <w:autoRedefine/>
    <w:qFormat/>
    <w:uiPriority w:val="0"/>
    <w:rPr>
      <w:rFonts w:ascii="Times New Roman" w:hAnsi="Times New Roman" w:eastAsia="宋体" w:cs="Times New Roman"/>
      <w:b/>
      <w:bCs/>
      <w:kern w:val="44"/>
      <w:sz w:val="44"/>
      <w:szCs w:val="44"/>
    </w:rPr>
  </w:style>
  <w:style w:type="character" w:customStyle="1" w:styleId="45">
    <w:name w:val="标题 2 字符"/>
    <w:link w:val="3"/>
    <w:autoRedefine/>
    <w:qFormat/>
    <w:uiPriority w:val="0"/>
    <w:rPr>
      <w:rFonts w:ascii="Arial" w:hAnsi="Arial" w:eastAsia="黑体" w:cs="Times New Roman"/>
      <w:b/>
      <w:bCs/>
      <w:sz w:val="32"/>
      <w:szCs w:val="32"/>
    </w:rPr>
  </w:style>
  <w:style w:type="character" w:customStyle="1" w:styleId="46">
    <w:name w:val="标题 3 字符"/>
    <w:link w:val="4"/>
    <w:autoRedefine/>
    <w:qFormat/>
    <w:uiPriority w:val="0"/>
    <w:rPr>
      <w:rFonts w:ascii="Times New Roman" w:hAnsi="Times New Roman" w:eastAsia="宋体" w:cs="Times New Roman"/>
      <w:b/>
      <w:bCs/>
      <w:sz w:val="32"/>
      <w:szCs w:val="32"/>
    </w:rPr>
  </w:style>
  <w:style w:type="character" w:customStyle="1" w:styleId="47">
    <w:name w:val="标题 4 字符"/>
    <w:link w:val="5"/>
    <w:autoRedefine/>
    <w:qFormat/>
    <w:uiPriority w:val="0"/>
    <w:rPr>
      <w:rFonts w:ascii="Arial" w:hAnsi="Arial" w:eastAsia="黑体" w:cs="Times New Roman"/>
      <w:bCs/>
      <w:sz w:val="21"/>
      <w:szCs w:val="28"/>
    </w:rPr>
  </w:style>
  <w:style w:type="character" w:customStyle="1" w:styleId="48">
    <w:name w:val="标题 5 字符"/>
    <w:link w:val="6"/>
    <w:autoRedefine/>
    <w:qFormat/>
    <w:uiPriority w:val="0"/>
    <w:rPr>
      <w:rFonts w:ascii="Times New Roman" w:hAnsi="Times New Roman" w:eastAsia="宋体" w:cs="Times New Roman"/>
      <w:b/>
      <w:bCs/>
      <w:sz w:val="28"/>
      <w:szCs w:val="28"/>
    </w:rPr>
  </w:style>
  <w:style w:type="character" w:customStyle="1" w:styleId="49">
    <w:name w:val="标题 6 字符"/>
    <w:link w:val="7"/>
    <w:autoRedefine/>
    <w:qFormat/>
    <w:uiPriority w:val="0"/>
    <w:rPr>
      <w:rFonts w:ascii="Arial" w:hAnsi="Arial" w:eastAsia="黑体" w:cs="Times New Roman"/>
      <w:b/>
      <w:bCs/>
      <w:sz w:val="24"/>
      <w:szCs w:val="24"/>
    </w:rPr>
  </w:style>
  <w:style w:type="character" w:customStyle="1" w:styleId="50">
    <w:name w:val="标题 7 字符"/>
    <w:link w:val="8"/>
    <w:autoRedefine/>
    <w:qFormat/>
    <w:uiPriority w:val="0"/>
    <w:rPr>
      <w:rFonts w:ascii="Times New Roman" w:hAnsi="Times New Roman" w:eastAsia="宋体" w:cs="Times New Roman"/>
      <w:b/>
      <w:bCs/>
      <w:sz w:val="24"/>
      <w:szCs w:val="24"/>
    </w:rPr>
  </w:style>
  <w:style w:type="character" w:customStyle="1" w:styleId="51">
    <w:name w:val="标题 8 字符"/>
    <w:link w:val="9"/>
    <w:autoRedefine/>
    <w:qFormat/>
    <w:uiPriority w:val="0"/>
    <w:rPr>
      <w:rFonts w:ascii="Arial" w:hAnsi="Arial" w:eastAsia="黑体" w:cs="Times New Roman"/>
      <w:sz w:val="24"/>
      <w:szCs w:val="24"/>
    </w:rPr>
  </w:style>
  <w:style w:type="character" w:customStyle="1" w:styleId="52">
    <w:name w:val="标题 9 字符"/>
    <w:link w:val="10"/>
    <w:autoRedefine/>
    <w:qFormat/>
    <w:uiPriority w:val="0"/>
    <w:rPr>
      <w:rFonts w:ascii="Arial" w:hAnsi="Arial" w:eastAsia="黑体" w:cs="Times New Roman"/>
      <w:szCs w:val="21"/>
    </w:rPr>
  </w:style>
  <w:style w:type="character" w:customStyle="1" w:styleId="53">
    <w:name w:val="页眉 字符"/>
    <w:link w:val="21"/>
    <w:autoRedefine/>
    <w:qFormat/>
    <w:uiPriority w:val="99"/>
    <w:rPr>
      <w:rFonts w:ascii="Times New Roman" w:hAnsi="Times New Roman" w:eastAsia="宋体" w:cs="Times New Roman"/>
      <w:sz w:val="18"/>
      <w:szCs w:val="18"/>
    </w:rPr>
  </w:style>
  <w:style w:type="character" w:customStyle="1" w:styleId="54">
    <w:name w:val="页脚 字符"/>
    <w:link w:val="20"/>
    <w:autoRedefine/>
    <w:qFormat/>
    <w:uiPriority w:val="99"/>
    <w:rPr>
      <w:rFonts w:ascii="宋体" w:hAnsi="Times New Roman" w:eastAsia="宋体" w:cs="Times New Roman"/>
      <w:sz w:val="18"/>
      <w:szCs w:val="18"/>
    </w:rPr>
  </w:style>
  <w:style w:type="character" w:customStyle="1" w:styleId="55">
    <w:name w:val="批注框文本 字符"/>
    <w:link w:val="19"/>
    <w:autoRedefine/>
    <w:semiHidden/>
    <w:qFormat/>
    <w:uiPriority w:val="99"/>
    <w:rPr>
      <w:sz w:val="18"/>
      <w:szCs w:val="18"/>
    </w:rPr>
  </w:style>
  <w:style w:type="paragraph" w:styleId="56">
    <w:name w:val="Quote"/>
    <w:basedOn w:val="1"/>
    <w:next w:val="1"/>
    <w:link w:val="57"/>
    <w:autoRedefine/>
    <w:qFormat/>
    <w:uiPriority w:val="29"/>
    <w:rPr>
      <w:i/>
      <w:iCs/>
      <w:color w:val="000000"/>
    </w:rPr>
  </w:style>
  <w:style w:type="character" w:customStyle="1" w:styleId="57">
    <w:name w:val="引用 字符"/>
    <w:link w:val="56"/>
    <w:autoRedefine/>
    <w:qFormat/>
    <w:uiPriority w:val="29"/>
    <w:rPr>
      <w:i/>
      <w:iCs/>
      <w:color w:val="000000"/>
    </w:rPr>
  </w:style>
  <w:style w:type="character" w:customStyle="1" w:styleId="58">
    <w:name w:val="标题 字符"/>
    <w:link w:val="29"/>
    <w:autoRedefine/>
    <w:qFormat/>
    <w:uiPriority w:val="0"/>
    <w:rPr>
      <w:rFonts w:ascii="Arial" w:hAnsi="Arial" w:eastAsia="宋体" w:cs="Arial"/>
      <w:b/>
      <w:bCs/>
      <w:sz w:val="32"/>
      <w:szCs w:val="32"/>
    </w:rPr>
  </w:style>
  <w:style w:type="paragraph" w:customStyle="1" w:styleId="5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6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63">
    <w:name w:val="标准书眉一"/>
    <w:autoRedefine/>
    <w:qFormat/>
    <w:uiPriority w:val="0"/>
    <w:pPr>
      <w:jc w:val="both"/>
    </w:pPr>
    <w:rPr>
      <w:rFonts w:ascii="Times New Roman" w:hAnsi="Times New Roman" w:eastAsia="宋体" w:cs="Times New Roman"/>
      <w:lang w:val="en-US" w:eastAsia="zh-CN" w:bidi="ar-SA"/>
    </w:rPr>
  </w:style>
  <w:style w:type="paragraph" w:customStyle="1" w:styleId="64">
    <w:name w:val="标准文件_ICS"/>
    <w:basedOn w:val="1"/>
    <w:autoRedefine/>
    <w:qFormat/>
    <w:uiPriority w:val="0"/>
    <w:pPr>
      <w:spacing w:line="0" w:lineRule="atLeast"/>
    </w:pPr>
    <w:rPr>
      <w:rFonts w:ascii="黑体" w:hAnsi="宋体" w:eastAsia="黑体"/>
    </w:rPr>
  </w:style>
  <w:style w:type="paragraph" w:customStyle="1" w:styleId="65">
    <w:name w:val="标准文件_标准正文"/>
    <w:basedOn w:val="1"/>
    <w:next w:val="66"/>
    <w:autoRedefine/>
    <w:qFormat/>
    <w:uiPriority w:val="0"/>
    <w:pPr>
      <w:snapToGrid w:val="0"/>
      <w:ind w:firstLine="200" w:firstLineChars="200"/>
    </w:pPr>
    <w:rPr>
      <w:kern w:val="0"/>
    </w:rPr>
  </w:style>
  <w:style w:type="paragraph" w:customStyle="1" w:styleId="66">
    <w:name w:val="标准文件_段"/>
    <w:link w:val="19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7">
    <w:name w:val="标准文件_版本"/>
    <w:basedOn w:val="65"/>
    <w:autoRedefine/>
    <w:qFormat/>
    <w:uiPriority w:val="0"/>
    <w:pPr>
      <w:adjustRightInd/>
      <w:snapToGrid/>
      <w:ind w:firstLine="0" w:firstLineChars="0"/>
    </w:pPr>
    <w:rPr>
      <w:rFonts w:ascii="宋体" w:hAnsi="宋体"/>
      <w:kern w:val="2"/>
    </w:rPr>
  </w:style>
  <w:style w:type="paragraph" w:customStyle="1" w:styleId="68">
    <w:name w:val="标准文件_标准部门"/>
    <w:basedOn w:val="1"/>
    <w:autoRedefine/>
    <w:qFormat/>
    <w:uiPriority w:val="0"/>
    <w:pPr>
      <w:jc w:val="center"/>
    </w:pPr>
    <w:rPr>
      <w:rFonts w:ascii="黑体" w:eastAsia="黑体"/>
      <w:kern w:val="0"/>
      <w:sz w:val="44"/>
    </w:rPr>
  </w:style>
  <w:style w:type="paragraph" w:customStyle="1" w:styleId="69">
    <w:name w:val="标准文件_标准代替"/>
    <w:basedOn w:val="1"/>
    <w:next w:val="1"/>
    <w:autoRedefine/>
    <w:qFormat/>
    <w:uiPriority w:val="0"/>
    <w:pPr>
      <w:spacing w:line="310" w:lineRule="exact"/>
      <w:jc w:val="right"/>
    </w:pPr>
    <w:rPr>
      <w:rFonts w:ascii="宋体" w:hAnsi="宋体"/>
      <w:kern w:val="0"/>
    </w:rPr>
  </w:style>
  <w:style w:type="paragraph" w:customStyle="1" w:styleId="7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7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2">
    <w:name w:val="标准文件_页眉偶数页"/>
    <w:basedOn w:val="71"/>
    <w:next w:val="1"/>
    <w:autoRedefine/>
    <w:qFormat/>
    <w:uiPriority w:val="0"/>
    <w:pPr>
      <w:jc w:val="left"/>
    </w:pPr>
  </w:style>
  <w:style w:type="paragraph" w:customStyle="1" w:styleId="73">
    <w:name w:val="标准文件_参考文献标题"/>
    <w:basedOn w:val="1"/>
    <w:next w:val="1"/>
    <w:autoRedefine/>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74">
    <w:name w:val="标准文件_参考文献条目"/>
    <w:autoRedefine/>
    <w:qFormat/>
    <w:uiPriority w:val="0"/>
    <w:pPr>
      <w:numPr>
        <w:ilvl w:val="0"/>
        <w:numId w:val="2"/>
      </w:numPr>
    </w:pPr>
    <w:rPr>
      <w:rFonts w:ascii="宋体" w:hAnsi="Times New Roman" w:eastAsia="宋体" w:cs="Times New Roman"/>
      <w:lang w:val="en-US" w:eastAsia="zh-CN" w:bidi="ar-SA"/>
    </w:rPr>
  </w:style>
  <w:style w:type="paragraph" w:customStyle="1" w:styleId="75">
    <w:name w:val="标准文件_二级条标题"/>
    <w:next w:val="66"/>
    <w:autoRedefine/>
    <w:qFormat/>
    <w:uiPriority w:val="0"/>
    <w:pPr>
      <w:widowControl w:val="0"/>
      <w:numPr>
        <w:ilvl w:val="3"/>
        <w:numId w:val="3"/>
      </w:numPr>
      <w:spacing w:before="50" w:beforeLines="50" w:after="50" w:afterLines="50"/>
      <w:jc w:val="both"/>
      <w:outlineLvl w:val="2"/>
    </w:pPr>
    <w:rPr>
      <w:rFonts w:ascii="黑体" w:hAnsi="黑体" w:eastAsia="宋体" w:cs="Times New Roman"/>
      <w:sz w:val="21"/>
      <w:lang w:val="en-US" w:eastAsia="zh-CN" w:bidi="ar-SA"/>
    </w:rPr>
  </w:style>
  <w:style w:type="character" w:customStyle="1" w:styleId="76">
    <w:name w:val="标准文件_发布"/>
    <w:autoRedefine/>
    <w:qFormat/>
    <w:uiPriority w:val="0"/>
    <w:rPr>
      <w:rFonts w:ascii="黑体" w:eastAsia="黑体"/>
      <w:spacing w:val="0"/>
      <w:w w:val="100"/>
      <w:position w:val="3"/>
      <w:sz w:val="28"/>
    </w:rPr>
  </w:style>
  <w:style w:type="paragraph" w:customStyle="1" w:styleId="77">
    <w:name w:val="标准文件_方框数字列项"/>
    <w:basedOn w:val="66"/>
    <w:autoRedefine/>
    <w:qFormat/>
    <w:uiPriority w:val="0"/>
    <w:pPr>
      <w:numPr>
        <w:ilvl w:val="0"/>
        <w:numId w:val="4"/>
      </w:numPr>
      <w:ind w:firstLine="0" w:firstLineChars="0"/>
    </w:pPr>
  </w:style>
  <w:style w:type="paragraph" w:customStyle="1" w:styleId="78">
    <w:name w:val="标准文件_封面标准编号"/>
    <w:basedOn w:val="1"/>
    <w:next w:val="69"/>
    <w:autoRedefine/>
    <w:qFormat/>
    <w:uiPriority w:val="0"/>
    <w:pPr>
      <w:spacing w:line="310" w:lineRule="exact"/>
      <w:jc w:val="right"/>
    </w:pPr>
    <w:rPr>
      <w:rFonts w:ascii="黑体" w:eastAsia="黑体"/>
      <w:kern w:val="0"/>
      <w:sz w:val="28"/>
    </w:rPr>
  </w:style>
  <w:style w:type="paragraph" w:customStyle="1" w:styleId="79">
    <w:name w:val="标准文件_封面标准分类号"/>
    <w:basedOn w:val="1"/>
    <w:autoRedefine/>
    <w:qFormat/>
    <w:uiPriority w:val="0"/>
    <w:rPr>
      <w:rFonts w:ascii="黑体" w:eastAsia="黑体"/>
      <w:b/>
      <w:kern w:val="0"/>
      <w:sz w:val="28"/>
    </w:rPr>
  </w:style>
  <w:style w:type="paragraph" w:customStyle="1" w:styleId="80">
    <w:name w:val="标准文件_封面标准名称"/>
    <w:basedOn w:val="1"/>
    <w:autoRedefine/>
    <w:qFormat/>
    <w:uiPriority w:val="0"/>
    <w:pPr>
      <w:spacing w:line="240" w:lineRule="auto"/>
      <w:jc w:val="center"/>
    </w:pPr>
    <w:rPr>
      <w:rFonts w:ascii="黑体" w:eastAsia="黑体"/>
      <w:kern w:val="0"/>
      <w:sz w:val="52"/>
    </w:rPr>
  </w:style>
  <w:style w:type="paragraph" w:customStyle="1" w:styleId="81">
    <w:name w:val="标准文件_封面标准英文名称"/>
    <w:basedOn w:val="1"/>
    <w:autoRedefine/>
    <w:qFormat/>
    <w:uiPriority w:val="0"/>
    <w:pPr>
      <w:spacing w:line="240" w:lineRule="auto"/>
      <w:jc w:val="center"/>
    </w:pPr>
    <w:rPr>
      <w:rFonts w:ascii="黑体" w:eastAsia="黑体"/>
      <w:b/>
      <w:sz w:val="28"/>
    </w:rPr>
  </w:style>
  <w:style w:type="paragraph" w:customStyle="1" w:styleId="82">
    <w:name w:val="标准文件_封面发布日期"/>
    <w:basedOn w:val="1"/>
    <w:autoRedefine/>
    <w:qFormat/>
    <w:uiPriority w:val="0"/>
    <w:pPr>
      <w:spacing w:line="310" w:lineRule="exact"/>
    </w:pPr>
    <w:rPr>
      <w:rFonts w:ascii="黑体" w:eastAsia="黑体"/>
      <w:kern w:val="0"/>
      <w:sz w:val="28"/>
    </w:rPr>
  </w:style>
  <w:style w:type="paragraph" w:customStyle="1" w:styleId="83">
    <w:name w:val="标准文件_封面密级"/>
    <w:basedOn w:val="1"/>
    <w:autoRedefine/>
    <w:qFormat/>
    <w:uiPriority w:val="0"/>
    <w:rPr>
      <w:rFonts w:eastAsia="黑体"/>
      <w:sz w:val="32"/>
    </w:rPr>
  </w:style>
  <w:style w:type="paragraph" w:customStyle="1" w:styleId="84">
    <w:name w:val="标准文件_封面实施日期"/>
    <w:basedOn w:val="1"/>
    <w:autoRedefine/>
    <w:qFormat/>
    <w:uiPriority w:val="0"/>
    <w:pPr>
      <w:spacing w:line="310" w:lineRule="exact"/>
      <w:jc w:val="right"/>
    </w:pPr>
    <w:rPr>
      <w:rFonts w:ascii="黑体" w:eastAsia="黑体"/>
      <w:sz w:val="28"/>
    </w:rPr>
  </w:style>
  <w:style w:type="paragraph" w:customStyle="1" w:styleId="85">
    <w:name w:val="标准文件_封面抬头"/>
    <w:basedOn w:val="66"/>
    <w:autoRedefine/>
    <w:qFormat/>
    <w:uiPriority w:val="0"/>
    <w:pPr>
      <w:adjustRightInd w:val="0"/>
      <w:spacing w:line="800" w:lineRule="exact"/>
      <w:ind w:firstLine="0" w:firstLineChars="0"/>
      <w:jc w:val="distribute"/>
    </w:pPr>
    <w:rPr>
      <w:rFonts w:ascii="黑体" w:eastAsia="黑体"/>
      <w:b/>
      <w:sz w:val="64"/>
    </w:rPr>
  </w:style>
  <w:style w:type="paragraph" w:customStyle="1" w:styleId="86">
    <w:name w:val="标准文件_附录标识"/>
    <w:next w:val="66"/>
    <w:autoRedefine/>
    <w:qFormat/>
    <w:uiPriority w:val="0"/>
    <w:pPr>
      <w:numPr>
        <w:ilvl w:val="0"/>
        <w:numId w:val="5"/>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7">
    <w:name w:val="标准文件_附录表标题"/>
    <w:next w:val="66"/>
    <w:autoRedefine/>
    <w:qFormat/>
    <w:uiPriority w:val="0"/>
    <w:pPr>
      <w:numPr>
        <w:ilvl w:val="1"/>
        <w:numId w:val="6"/>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8">
    <w:name w:val="标准文件_附录一级条标题"/>
    <w:next w:val="66"/>
    <w:autoRedefine/>
    <w:qFormat/>
    <w:uiPriority w:val="0"/>
    <w:pPr>
      <w:widowControl w:val="0"/>
      <w:numPr>
        <w:ilvl w:val="1"/>
        <w:numId w:val="5"/>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9">
    <w:name w:val="标准文件_附录二级条标题"/>
    <w:basedOn w:val="88"/>
    <w:next w:val="66"/>
    <w:autoRedefine/>
    <w:qFormat/>
    <w:uiPriority w:val="0"/>
    <w:pPr>
      <w:widowControl/>
      <w:numPr>
        <w:ilvl w:val="2"/>
      </w:numPr>
      <w:wordWrap w:val="0"/>
      <w:overflowPunct w:val="0"/>
      <w:autoSpaceDE w:val="0"/>
      <w:autoSpaceDN w:val="0"/>
      <w:textAlignment w:val="baseline"/>
      <w:outlineLvl w:val="3"/>
    </w:pPr>
  </w:style>
  <w:style w:type="paragraph" w:customStyle="1" w:styleId="90">
    <w:name w:val="标准文件_附录公式"/>
    <w:basedOn w:val="65"/>
    <w:next w:val="6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91">
    <w:name w:val="标准文件_附录三级条标题"/>
    <w:next w:val="66"/>
    <w:autoRedefine/>
    <w:qFormat/>
    <w:uiPriority w:val="0"/>
    <w:pPr>
      <w:widowControl w:val="0"/>
      <w:numPr>
        <w:ilvl w:val="3"/>
        <w:numId w:val="5"/>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92">
    <w:name w:val="标准文件_附录四级条标题"/>
    <w:next w:val="66"/>
    <w:autoRedefine/>
    <w:qFormat/>
    <w:uiPriority w:val="0"/>
    <w:pPr>
      <w:widowControl w:val="0"/>
      <w:numPr>
        <w:ilvl w:val="4"/>
        <w:numId w:val="5"/>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93">
    <w:name w:val="标准文件_附录图标题"/>
    <w:next w:val="66"/>
    <w:autoRedefine/>
    <w:qFormat/>
    <w:uiPriority w:val="0"/>
    <w:pPr>
      <w:numPr>
        <w:ilvl w:val="1"/>
        <w:numId w:val="7"/>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94">
    <w:name w:val="标准文件_附录五级条标题"/>
    <w:next w:val="66"/>
    <w:autoRedefine/>
    <w:qFormat/>
    <w:uiPriority w:val="0"/>
    <w:pPr>
      <w:widowControl w:val="0"/>
      <w:numPr>
        <w:ilvl w:val="5"/>
        <w:numId w:val="5"/>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5">
    <w:name w:val="标准文件_附录英文标识"/>
    <w:next w:val="15"/>
    <w:autoRedefine/>
    <w:qFormat/>
    <w:uiPriority w:val="0"/>
    <w:pPr>
      <w:numPr>
        <w:ilvl w:val="0"/>
        <w:numId w:val="8"/>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6">
    <w:name w:val="正文文本 字符"/>
    <w:link w:val="15"/>
    <w:autoRedefine/>
    <w:qFormat/>
    <w:uiPriority w:val="0"/>
    <w:rPr>
      <w:rFonts w:ascii="Times New Roman" w:hAnsi="Times New Roman" w:eastAsia="宋体" w:cs="Times New Roman"/>
      <w:szCs w:val="20"/>
    </w:rPr>
  </w:style>
  <w:style w:type="paragraph" w:customStyle="1" w:styleId="97">
    <w:name w:val="标准文件_附录章标题"/>
    <w:next w:val="6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8">
    <w:name w:val="标准文件_公式后的破折号"/>
    <w:basedOn w:val="66"/>
    <w:next w:val="66"/>
    <w:autoRedefine/>
    <w:qFormat/>
    <w:uiPriority w:val="0"/>
    <w:pPr>
      <w:ind w:left="488" w:leftChars="200" w:hanging="289" w:hangingChars="290"/>
    </w:pPr>
  </w:style>
  <w:style w:type="paragraph" w:customStyle="1" w:styleId="99">
    <w:name w:val="标准文件_前言、引言标题"/>
    <w:next w:val="1"/>
    <w:autoRedefine/>
    <w:qFormat/>
    <w:uiPriority w:val="0"/>
    <w:pPr>
      <w:numPr>
        <w:ilvl w:val="0"/>
        <w:numId w:val="9"/>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100">
    <w:name w:val="标准文件_目次、标准名称标题"/>
    <w:basedOn w:val="99"/>
    <w:next w:val="66"/>
    <w:autoRedefine/>
    <w:qFormat/>
    <w:uiPriority w:val="0"/>
    <w:pPr>
      <w:spacing w:line="460" w:lineRule="exact"/>
    </w:pPr>
  </w:style>
  <w:style w:type="paragraph" w:customStyle="1" w:styleId="101">
    <w:name w:val="标准文件_目录标题"/>
    <w:basedOn w:val="1"/>
    <w:autoRedefine/>
    <w:qFormat/>
    <w:uiPriority w:val="0"/>
    <w:pPr>
      <w:spacing w:after="150" w:afterLines="150" w:line="240" w:lineRule="auto"/>
      <w:jc w:val="center"/>
    </w:pPr>
    <w:rPr>
      <w:rFonts w:ascii="黑体" w:eastAsia="黑体"/>
      <w:sz w:val="32"/>
    </w:rPr>
  </w:style>
  <w:style w:type="paragraph" w:customStyle="1" w:styleId="102">
    <w:name w:val="标准文件_破折号列项"/>
    <w:autoRedefine/>
    <w:qFormat/>
    <w:uiPriority w:val="0"/>
    <w:pPr>
      <w:numPr>
        <w:ilvl w:val="0"/>
        <w:numId w:val="10"/>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03">
    <w:name w:val="标准文件_破折号列项（二级）"/>
    <w:basedOn w:val="102"/>
    <w:autoRedefine/>
    <w:qFormat/>
    <w:uiPriority w:val="0"/>
    <w:pPr>
      <w:numPr>
        <w:numId w:val="11"/>
      </w:numPr>
      <w:ind w:left="0" w:firstLine="200"/>
    </w:pPr>
  </w:style>
  <w:style w:type="paragraph" w:customStyle="1" w:styleId="104">
    <w:name w:val="标准文件_三级条标题"/>
    <w:basedOn w:val="75"/>
    <w:next w:val="66"/>
    <w:autoRedefine/>
    <w:qFormat/>
    <w:uiPriority w:val="0"/>
    <w:pPr>
      <w:widowControl/>
      <w:numPr>
        <w:ilvl w:val="4"/>
      </w:numPr>
      <w:ind w:left="284"/>
      <w:outlineLvl w:val="3"/>
    </w:pPr>
  </w:style>
  <w:style w:type="character" w:customStyle="1" w:styleId="105">
    <w:name w:val="不明显参考1"/>
    <w:autoRedefine/>
    <w:qFormat/>
    <w:uiPriority w:val="31"/>
    <w:rPr>
      <w:smallCaps/>
      <w:color w:val="C0504D"/>
      <w:u w:val="single"/>
    </w:rPr>
  </w:style>
  <w:style w:type="paragraph" w:customStyle="1" w:styleId="106">
    <w:name w:val="标准文件_示例后续"/>
    <w:basedOn w:val="1"/>
    <w:autoRedefine/>
    <w:qFormat/>
    <w:uiPriority w:val="0"/>
    <w:pPr>
      <w:adjustRightInd/>
      <w:spacing w:line="240" w:lineRule="auto"/>
      <w:ind w:firstLine="200" w:firstLineChars="200"/>
    </w:pPr>
    <w:rPr>
      <w:sz w:val="18"/>
      <w:szCs w:val="24"/>
    </w:rPr>
  </w:style>
  <w:style w:type="paragraph" w:customStyle="1" w:styleId="107">
    <w:name w:val="标准文件_数字编号列项"/>
    <w:autoRedefine/>
    <w:qFormat/>
    <w:uiPriority w:val="0"/>
    <w:pPr>
      <w:numPr>
        <w:ilvl w:val="0"/>
        <w:numId w:val="12"/>
      </w:numPr>
      <w:jc w:val="both"/>
    </w:pPr>
    <w:rPr>
      <w:rFonts w:ascii="宋体" w:hAnsi="宋体" w:eastAsia="宋体" w:cs="Times New Roman"/>
      <w:sz w:val="21"/>
      <w:lang w:val="en-US" w:eastAsia="zh-CN" w:bidi="ar-SA"/>
    </w:rPr>
  </w:style>
  <w:style w:type="paragraph" w:customStyle="1" w:styleId="108">
    <w:name w:val="标准文件_四级条标题"/>
    <w:next w:val="66"/>
    <w:autoRedefine/>
    <w:qFormat/>
    <w:uiPriority w:val="0"/>
    <w:pPr>
      <w:widowControl w:val="0"/>
      <w:numPr>
        <w:ilvl w:val="5"/>
        <w:numId w:val="3"/>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9">
    <w:name w:val="脚注文本 字符"/>
    <w:link w:val="24"/>
    <w:autoRedefine/>
    <w:semiHidden/>
    <w:qFormat/>
    <w:uiPriority w:val="0"/>
    <w:rPr>
      <w:rFonts w:ascii="宋体" w:hAnsi="Times New Roman" w:eastAsia="宋体" w:cs="Times New Roman"/>
      <w:sz w:val="18"/>
      <w:szCs w:val="18"/>
    </w:rPr>
  </w:style>
  <w:style w:type="paragraph" w:customStyle="1" w:styleId="110">
    <w:name w:val="标准文件_条文脚注"/>
    <w:basedOn w:val="24"/>
    <w:autoRedefine/>
    <w:qFormat/>
    <w:uiPriority w:val="0"/>
    <w:pPr>
      <w:adjustRightInd w:val="0"/>
      <w:spacing w:line="240" w:lineRule="auto"/>
      <w:ind w:left="0" w:leftChars="0" w:firstLine="200" w:firstLineChars="200"/>
      <w:jc w:val="both"/>
    </w:pPr>
    <w:rPr>
      <w:rFonts w:hAnsi="宋体"/>
    </w:rPr>
  </w:style>
  <w:style w:type="paragraph" w:customStyle="1" w:styleId="111">
    <w:name w:val="标准文件_图表脚注"/>
    <w:basedOn w:val="1"/>
    <w:next w:val="66"/>
    <w:autoRedefine/>
    <w:qFormat/>
    <w:uiPriority w:val="0"/>
    <w:pPr>
      <w:numPr>
        <w:ilvl w:val="0"/>
        <w:numId w:val="13"/>
      </w:numPr>
      <w:spacing w:line="240" w:lineRule="auto"/>
      <w:jc w:val="left"/>
    </w:pPr>
    <w:rPr>
      <w:rFonts w:ascii="宋体" w:hAnsi="宋体"/>
      <w:sz w:val="18"/>
    </w:rPr>
  </w:style>
  <w:style w:type="character" w:customStyle="1" w:styleId="112">
    <w:name w:val="标准文件_图表脚注内容"/>
    <w:autoRedefine/>
    <w:qFormat/>
    <w:uiPriority w:val="0"/>
    <w:rPr>
      <w:rFonts w:ascii="宋体" w:hAnsi="宋体" w:eastAsia="宋体" w:cs="Times New Roman"/>
      <w:spacing w:val="0"/>
      <w:sz w:val="18"/>
      <w:vertAlign w:val="superscript"/>
    </w:rPr>
  </w:style>
  <w:style w:type="paragraph" w:customStyle="1" w:styleId="113">
    <w:name w:val="标准文件_五级条标题"/>
    <w:next w:val="66"/>
    <w:autoRedefine/>
    <w:qFormat/>
    <w:uiPriority w:val="0"/>
    <w:pPr>
      <w:widowControl w:val="0"/>
      <w:numPr>
        <w:ilvl w:val="6"/>
        <w:numId w:val="3"/>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4">
    <w:name w:val="标准文件_章标题"/>
    <w:next w:val="66"/>
    <w:autoRedefine/>
    <w:qFormat/>
    <w:uiPriority w:val="0"/>
    <w:pPr>
      <w:numPr>
        <w:ilvl w:val="1"/>
        <w:numId w:val="3"/>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5">
    <w:name w:val="标准文件_一级条标题"/>
    <w:basedOn w:val="114"/>
    <w:next w:val="66"/>
    <w:autoRedefine/>
    <w:qFormat/>
    <w:uiPriority w:val="0"/>
    <w:pPr>
      <w:numPr>
        <w:ilvl w:val="2"/>
      </w:numPr>
      <w:spacing w:before="50" w:beforeLines="50" w:after="50" w:afterLines="50"/>
      <w:outlineLvl w:val="1"/>
    </w:pPr>
  </w:style>
  <w:style w:type="paragraph" w:customStyle="1" w:styleId="116">
    <w:name w:val="标准文件_一致程度"/>
    <w:basedOn w:val="1"/>
    <w:autoRedefine/>
    <w:qFormat/>
    <w:uiPriority w:val="0"/>
    <w:pPr>
      <w:spacing w:line="440" w:lineRule="exact"/>
      <w:jc w:val="center"/>
    </w:pPr>
    <w:rPr>
      <w:sz w:val="28"/>
    </w:rPr>
  </w:style>
  <w:style w:type="paragraph" w:customStyle="1" w:styleId="117">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8">
    <w:name w:val="标准文件_英文图表脚注"/>
    <w:basedOn w:val="65"/>
    <w:autoRedefine/>
    <w:qFormat/>
    <w:uiPriority w:val="0"/>
    <w:pPr>
      <w:widowControl/>
      <w:adjustRightInd/>
      <w:snapToGrid/>
      <w:spacing w:line="240" w:lineRule="auto"/>
      <w:ind w:left="79" w:hanging="79" w:hangingChars="80"/>
    </w:pPr>
    <w:rPr>
      <w:rFonts w:ascii="宋体" w:hAnsi="宋体"/>
    </w:rPr>
  </w:style>
  <w:style w:type="paragraph" w:customStyle="1" w:styleId="119">
    <w:name w:val="标准文件_数字编号列项（二级）"/>
    <w:autoRedefine/>
    <w:qFormat/>
    <w:uiPriority w:val="0"/>
    <w:pPr>
      <w:numPr>
        <w:ilvl w:val="1"/>
        <w:numId w:val="14"/>
      </w:numPr>
      <w:jc w:val="both"/>
    </w:pPr>
    <w:rPr>
      <w:rFonts w:ascii="宋体" w:hAnsi="Times New Roman" w:eastAsia="宋体" w:cs="Times New Roman"/>
      <w:sz w:val="21"/>
      <w:lang w:val="en-US" w:eastAsia="zh-CN" w:bidi="ar-SA"/>
    </w:rPr>
  </w:style>
  <w:style w:type="paragraph" w:customStyle="1" w:styleId="120">
    <w:name w:val="标准文件_英文注："/>
    <w:basedOn w:val="1"/>
    <w:next w:val="66"/>
    <w:autoRedefine/>
    <w:qFormat/>
    <w:uiPriority w:val="0"/>
    <w:pPr>
      <w:numPr>
        <w:ilvl w:val="0"/>
        <w:numId w:val="15"/>
      </w:numPr>
      <w:tabs>
        <w:tab w:val="left" w:pos="420"/>
      </w:tabs>
      <w:autoSpaceDE w:val="0"/>
      <w:autoSpaceDN w:val="0"/>
      <w:spacing w:line="240" w:lineRule="auto"/>
    </w:pPr>
    <w:rPr>
      <w:rFonts w:ascii="宋体" w:hAnsi="宋体"/>
      <w:kern w:val="0"/>
      <w:sz w:val="18"/>
      <w:szCs w:val="20"/>
    </w:rPr>
  </w:style>
  <w:style w:type="paragraph" w:customStyle="1" w:styleId="121">
    <w:name w:val="标准文件_英文注×："/>
    <w:basedOn w:val="1"/>
    <w:autoRedefine/>
    <w:qFormat/>
    <w:uiPriority w:val="0"/>
    <w:pPr>
      <w:numPr>
        <w:ilvl w:val="0"/>
        <w:numId w:val="16"/>
      </w:numPr>
      <w:tabs>
        <w:tab w:val="left" w:pos="210"/>
      </w:tabs>
      <w:autoSpaceDE w:val="0"/>
      <w:autoSpaceDN w:val="0"/>
      <w:spacing w:line="240" w:lineRule="auto"/>
    </w:pPr>
    <w:rPr>
      <w:rFonts w:ascii="宋体" w:hAnsi="宋体"/>
      <w:kern w:val="0"/>
      <w:szCs w:val="20"/>
    </w:rPr>
  </w:style>
  <w:style w:type="paragraph" w:customStyle="1" w:styleId="122">
    <w:name w:val="标准文件_正文表标题"/>
    <w:next w:val="66"/>
    <w:autoRedefine/>
    <w:qFormat/>
    <w:uiPriority w:val="0"/>
    <w:p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23">
    <w:name w:val="标准文件_正文公式"/>
    <w:basedOn w:val="1"/>
    <w:next w:val="65"/>
    <w:autoRedefine/>
    <w:qFormat/>
    <w:uiPriority w:val="0"/>
    <w:pPr>
      <w:tabs>
        <w:tab w:val="center" w:pos="4678"/>
        <w:tab w:val="right" w:leader="middleDot" w:pos="9356"/>
      </w:tabs>
      <w:spacing w:line="240" w:lineRule="auto"/>
    </w:pPr>
    <w:rPr>
      <w:rFonts w:ascii="宋体" w:hAnsi="宋体"/>
    </w:rPr>
  </w:style>
  <w:style w:type="paragraph" w:customStyle="1" w:styleId="124">
    <w:name w:val="标准文件_正文图标题"/>
    <w:next w:val="66"/>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5">
    <w:name w:val="标准文件_正文英文表标题"/>
    <w:next w:val="6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6">
    <w:name w:val="标准文件_正文英文图标题"/>
    <w:next w:val="66"/>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7">
    <w:name w:val="标准文件_编号列项（三级）"/>
    <w:autoRedefine/>
    <w:qFormat/>
    <w:uiPriority w:val="0"/>
    <w:pPr>
      <w:numPr>
        <w:ilvl w:val="2"/>
        <w:numId w:val="14"/>
      </w:numPr>
    </w:pPr>
    <w:rPr>
      <w:rFonts w:ascii="宋体" w:hAnsi="Times New Roman" w:eastAsia="宋体" w:cs="Times New Roman"/>
      <w:sz w:val="21"/>
      <w:lang w:val="en-US" w:eastAsia="zh-CN" w:bidi="ar-SA"/>
    </w:rPr>
  </w:style>
  <w:style w:type="paragraph" w:customStyle="1" w:styleId="128">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9">
    <w:name w:val="发布部门"/>
    <w:next w:val="6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3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31">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32">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5">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7">
    <w:name w:val="封面正文"/>
    <w:autoRedefine/>
    <w:qFormat/>
    <w:uiPriority w:val="0"/>
    <w:pPr>
      <w:jc w:val="both"/>
    </w:pPr>
    <w:rPr>
      <w:rFonts w:ascii="Times New Roman" w:hAnsi="Times New Roman" w:eastAsia="宋体" w:cs="Times New Roman"/>
      <w:lang w:val="en-US" w:eastAsia="zh-CN" w:bidi="ar-SA"/>
    </w:rPr>
  </w:style>
  <w:style w:type="paragraph" w:customStyle="1" w:styleId="138">
    <w:name w:val="附录二级无标题条"/>
    <w:basedOn w:val="1"/>
    <w:next w:val="6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9">
    <w:name w:val="附录三级无标题条"/>
    <w:basedOn w:val="138"/>
    <w:next w:val="66"/>
    <w:autoRedefine/>
    <w:qFormat/>
    <w:uiPriority w:val="0"/>
    <w:pPr>
      <w:outlineLvl w:val="4"/>
    </w:pPr>
  </w:style>
  <w:style w:type="paragraph" w:customStyle="1" w:styleId="140">
    <w:name w:val="附录四级无标题条"/>
    <w:basedOn w:val="139"/>
    <w:next w:val="66"/>
    <w:autoRedefine/>
    <w:qFormat/>
    <w:uiPriority w:val="0"/>
    <w:pPr>
      <w:outlineLvl w:val="5"/>
    </w:pPr>
  </w:style>
  <w:style w:type="paragraph" w:customStyle="1" w:styleId="141">
    <w:name w:val="附录图"/>
    <w:next w:val="66"/>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2">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43">
    <w:name w:val="附录五级无标题条"/>
    <w:basedOn w:val="140"/>
    <w:next w:val="66"/>
    <w:autoRedefine/>
    <w:qFormat/>
    <w:uiPriority w:val="0"/>
    <w:pPr>
      <w:outlineLvl w:val="6"/>
    </w:pPr>
  </w:style>
  <w:style w:type="paragraph" w:customStyle="1" w:styleId="144">
    <w:name w:val="附录性质"/>
    <w:basedOn w:val="1"/>
    <w:autoRedefine/>
    <w:qFormat/>
    <w:uiPriority w:val="0"/>
    <w:pPr>
      <w:widowControl/>
      <w:adjustRightInd/>
      <w:jc w:val="center"/>
    </w:pPr>
    <w:rPr>
      <w:rFonts w:ascii="黑体" w:eastAsia="黑体"/>
    </w:rPr>
  </w:style>
  <w:style w:type="paragraph" w:customStyle="1" w:styleId="145">
    <w:name w:val="附录一级无标题条"/>
    <w:basedOn w:val="97"/>
    <w:next w:val="66"/>
    <w:autoRedefine/>
    <w:qFormat/>
    <w:uiPriority w:val="0"/>
    <w:pPr>
      <w:autoSpaceDN w:val="0"/>
      <w:outlineLvl w:val="2"/>
    </w:pPr>
    <w:rPr>
      <w:rFonts w:ascii="宋体" w:hAnsi="宋体" w:eastAsia="宋体"/>
    </w:rPr>
  </w:style>
  <w:style w:type="character" w:customStyle="1" w:styleId="146">
    <w:name w:val="个人答复风格"/>
    <w:autoRedefine/>
    <w:qFormat/>
    <w:uiPriority w:val="0"/>
    <w:rPr>
      <w:rFonts w:ascii="Arial" w:hAnsi="Arial" w:eastAsia="宋体" w:cs="Arial"/>
      <w:color w:val="auto"/>
      <w:spacing w:val="0"/>
      <w:sz w:val="20"/>
    </w:rPr>
  </w:style>
  <w:style w:type="character" w:customStyle="1" w:styleId="147">
    <w:name w:val="个人撰写风格"/>
    <w:autoRedefine/>
    <w:qFormat/>
    <w:uiPriority w:val="0"/>
    <w:rPr>
      <w:rFonts w:ascii="Arial" w:hAnsi="Arial" w:eastAsia="宋体" w:cs="Arial"/>
      <w:color w:val="auto"/>
      <w:spacing w:val="0"/>
      <w:sz w:val="20"/>
    </w:rPr>
  </w:style>
  <w:style w:type="paragraph" w:customStyle="1" w:styleId="148">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9">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50">
    <w:name w:val="列项·"/>
    <w:basedOn w:val="66"/>
    <w:autoRedefine/>
    <w:qFormat/>
    <w:uiPriority w:val="0"/>
    <w:pPr>
      <w:tabs>
        <w:tab w:val="left" w:pos="840"/>
      </w:tabs>
    </w:pPr>
  </w:style>
  <w:style w:type="paragraph" w:customStyle="1" w:styleId="15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52">
    <w:name w:val="目录 21"/>
    <w:basedOn w:val="1"/>
    <w:next w:val="1"/>
    <w:autoRedefine/>
    <w:semiHidden/>
    <w:qFormat/>
    <w:uiPriority w:val="0"/>
    <w:pPr>
      <w:adjustRightInd/>
      <w:spacing w:line="240" w:lineRule="auto"/>
      <w:jc w:val="left"/>
    </w:pPr>
    <w:rPr>
      <w:bCs/>
      <w:iCs/>
    </w:rPr>
  </w:style>
  <w:style w:type="paragraph" w:customStyle="1" w:styleId="153">
    <w:name w:val="目录 31"/>
    <w:basedOn w:val="1"/>
    <w:next w:val="1"/>
    <w:autoRedefine/>
    <w:semiHidden/>
    <w:qFormat/>
    <w:uiPriority w:val="0"/>
    <w:pPr>
      <w:spacing w:line="240" w:lineRule="auto"/>
    </w:pPr>
    <w:rPr>
      <w:rFonts w:ascii="宋体" w:hAnsi="宋体"/>
      <w:iCs/>
    </w:rPr>
  </w:style>
  <w:style w:type="paragraph" w:customStyle="1" w:styleId="154">
    <w:name w:val="目录 41"/>
    <w:basedOn w:val="1"/>
    <w:next w:val="1"/>
    <w:autoRedefine/>
    <w:semiHidden/>
    <w:qFormat/>
    <w:uiPriority w:val="0"/>
    <w:pPr>
      <w:adjustRightInd/>
      <w:spacing w:line="240" w:lineRule="auto"/>
      <w:jc w:val="left"/>
    </w:pPr>
  </w:style>
  <w:style w:type="paragraph" w:customStyle="1" w:styleId="155">
    <w:name w:val="目录 51"/>
    <w:basedOn w:val="1"/>
    <w:next w:val="1"/>
    <w:autoRedefine/>
    <w:semiHidden/>
    <w:qFormat/>
    <w:uiPriority w:val="0"/>
    <w:pPr>
      <w:spacing w:line="240" w:lineRule="auto"/>
    </w:pPr>
    <w:rPr>
      <w:rFonts w:ascii="宋体" w:hAnsi="宋体"/>
    </w:rPr>
  </w:style>
  <w:style w:type="paragraph" w:customStyle="1" w:styleId="156">
    <w:name w:val="目录 61"/>
    <w:basedOn w:val="1"/>
    <w:next w:val="1"/>
    <w:autoRedefine/>
    <w:semiHidden/>
    <w:qFormat/>
    <w:uiPriority w:val="0"/>
    <w:pPr>
      <w:adjustRightInd/>
      <w:spacing w:line="240" w:lineRule="auto"/>
      <w:jc w:val="left"/>
    </w:pPr>
  </w:style>
  <w:style w:type="paragraph" w:customStyle="1" w:styleId="157">
    <w:name w:val="目录 71"/>
    <w:basedOn w:val="156"/>
    <w:autoRedefine/>
    <w:semiHidden/>
    <w:qFormat/>
    <w:uiPriority w:val="0"/>
    <w:pPr>
      <w:ind w:left="1260"/>
    </w:pPr>
  </w:style>
  <w:style w:type="paragraph" w:customStyle="1" w:styleId="158">
    <w:name w:val="目录 81"/>
    <w:basedOn w:val="157"/>
    <w:autoRedefine/>
    <w:semiHidden/>
    <w:qFormat/>
    <w:uiPriority w:val="0"/>
    <w:pPr>
      <w:ind w:left="1470"/>
    </w:pPr>
  </w:style>
  <w:style w:type="paragraph" w:customStyle="1" w:styleId="159">
    <w:name w:val="目录 91"/>
    <w:basedOn w:val="158"/>
    <w:autoRedefine/>
    <w:semiHidden/>
    <w:qFormat/>
    <w:uiPriority w:val="0"/>
    <w:pPr>
      <w:ind w:left="1680"/>
    </w:pPr>
  </w:style>
  <w:style w:type="paragraph" w:customStyle="1" w:styleId="16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61">
    <w:name w:val="其他发布部门"/>
    <w:basedOn w:val="129"/>
    <w:autoRedefine/>
    <w:qFormat/>
    <w:uiPriority w:val="0"/>
    <w:pPr>
      <w:framePr w:wrap="around"/>
      <w:spacing w:line="0" w:lineRule="atLeast"/>
    </w:pPr>
    <w:rPr>
      <w:rFonts w:ascii="黑体" w:eastAsia="黑体"/>
      <w:b w:val="0"/>
    </w:rPr>
  </w:style>
  <w:style w:type="paragraph" w:customStyle="1" w:styleId="162">
    <w:name w:val="前言标题"/>
    <w:next w:val="1"/>
    <w:autoRedefine/>
    <w:qFormat/>
    <w:uiPriority w:val="0"/>
    <w:pPr>
      <w:numPr>
        <w:ilvl w:val="0"/>
        <w:numId w:val="3"/>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3">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64">
    <w:name w:val="实施日期"/>
    <w:basedOn w:val="130"/>
    <w:autoRedefine/>
    <w:qFormat/>
    <w:uiPriority w:val="0"/>
    <w:pPr>
      <w:framePr w:hSpace="0" w:wrap="around" w:xAlign="right"/>
      <w:jc w:val="right"/>
    </w:pPr>
  </w:style>
  <w:style w:type="paragraph" w:customStyle="1" w:styleId="165">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66">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7">
    <w:name w:val="无标题条"/>
    <w:next w:val="66"/>
    <w:autoRedefine/>
    <w:qFormat/>
    <w:uiPriority w:val="0"/>
    <w:pPr>
      <w:jc w:val="both"/>
    </w:pPr>
    <w:rPr>
      <w:rFonts w:ascii="宋体" w:hAnsi="宋体" w:eastAsia="宋体" w:cs="Times New Roman"/>
      <w:sz w:val="21"/>
      <w:lang w:val="en-US" w:eastAsia="zh-CN" w:bidi="ar-SA"/>
    </w:rPr>
  </w:style>
  <w:style w:type="paragraph" w:customStyle="1" w:styleId="168">
    <w:name w:val="五级无标题条"/>
    <w:basedOn w:val="1"/>
    <w:autoRedefine/>
    <w:qFormat/>
    <w:uiPriority w:val="0"/>
    <w:pPr>
      <w:numPr>
        <w:ilvl w:val="6"/>
        <w:numId w:val="20"/>
      </w:numPr>
      <w:adjustRightInd/>
    </w:pPr>
    <w:rPr>
      <w:szCs w:val="24"/>
    </w:rPr>
  </w:style>
  <w:style w:type="paragraph" w:customStyle="1" w:styleId="169">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70">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71">
    <w:name w:val="注×:后续"/>
    <w:basedOn w:val="170"/>
    <w:autoRedefine/>
    <w:qFormat/>
    <w:uiPriority w:val="0"/>
    <w:pPr>
      <w:ind w:left="1406" w:leftChars="0" w:hanging="499" w:firstLineChars="0"/>
    </w:pPr>
  </w:style>
  <w:style w:type="paragraph" w:customStyle="1" w:styleId="172">
    <w:name w:val="标准文件_一级无标题"/>
    <w:basedOn w:val="115"/>
    <w:autoRedefine/>
    <w:qFormat/>
    <w:uiPriority w:val="0"/>
    <w:pPr>
      <w:spacing w:before="0" w:beforeLines="0" w:after="0" w:afterLines="0"/>
      <w:outlineLvl w:val="9"/>
    </w:pPr>
    <w:rPr>
      <w:rFonts w:ascii="宋体" w:eastAsia="宋体"/>
    </w:rPr>
  </w:style>
  <w:style w:type="paragraph" w:customStyle="1" w:styleId="173">
    <w:name w:val="标准文件_五级无标题"/>
    <w:basedOn w:val="113"/>
    <w:autoRedefine/>
    <w:qFormat/>
    <w:uiPriority w:val="0"/>
    <w:pPr>
      <w:spacing w:before="0" w:beforeLines="0" w:after="0" w:afterLines="0"/>
      <w:outlineLvl w:val="9"/>
    </w:pPr>
    <w:rPr>
      <w:rFonts w:ascii="宋体" w:eastAsia="宋体"/>
    </w:rPr>
  </w:style>
  <w:style w:type="paragraph" w:customStyle="1" w:styleId="174">
    <w:name w:val="标准文件_三级无标题"/>
    <w:basedOn w:val="104"/>
    <w:autoRedefine/>
    <w:qFormat/>
    <w:uiPriority w:val="0"/>
    <w:pPr>
      <w:spacing w:before="0" w:beforeLines="0" w:after="0" w:afterLines="0"/>
      <w:outlineLvl w:val="9"/>
    </w:pPr>
    <w:rPr>
      <w:rFonts w:ascii="宋体"/>
    </w:rPr>
  </w:style>
  <w:style w:type="paragraph" w:customStyle="1" w:styleId="175">
    <w:name w:val="标准文件_二级无标题"/>
    <w:basedOn w:val="75"/>
    <w:autoRedefine/>
    <w:qFormat/>
    <w:uiPriority w:val="0"/>
    <w:pPr>
      <w:spacing w:before="0" w:beforeLines="0" w:after="0" w:afterLines="0"/>
      <w:outlineLvl w:val="9"/>
    </w:pPr>
    <w:rPr>
      <w:rFonts w:ascii="宋体"/>
    </w:rPr>
  </w:style>
  <w:style w:type="paragraph" w:customStyle="1" w:styleId="176">
    <w:name w:val="标准_四级无标题"/>
    <w:basedOn w:val="108"/>
    <w:next w:val="66"/>
    <w:autoRedefine/>
    <w:qFormat/>
    <w:uiPriority w:val="0"/>
    <w:rPr>
      <w:rFonts w:eastAsia="宋体"/>
    </w:rPr>
  </w:style>
  <w:style w:type="paragraph" w:customStyle="1" w:styleId="177">
    <w:name w:val="标准文件_四级无标题"/>
    <w:basedOn w:val="108"/>
    <w:autoRedefine/>
    <w:qFormat/>
    <w:uiPriority w:val="0"/>
    <w:pPr>
      <w:spacing w:before="0" w:beforeLines="0" w:after="0" w:afterLines="0"/>
      <w:outlineLvl w:val="9"/>
    </w:pPr>
    <w:rPr>
      <w:rFonts w:ascii="宋体" w:hAnsi="黑体" w:eastAsia="宋体"/>
      <w:szCs w:val="52"/>
    </w:rPr>
  </w:style>
  <w:style w:type="paragraph" w:customStyle="1" w:styleId="178">
    <w:name w:val="标准文件_大写罗马数字编号列项"/>
    <w:basedOn w:val="66"/>
    <w:autoRedefine/>
    <w:qFormat/>
    <w:uiPriority w:val="0"/>
    <w:pPr>
      <w:numPr>
        <w:ilvl w:val="0"/>
        <w:numId w:val="23"/>
      </w:numPr>
      <w:ind w:firstLine="0" w:firstLineChars="0"/>
    </w:pPr>
    <w:rPr>
      <w:rFonts w:ascii="Times New Roman" w:cs="Arial"/>
      <w:szCs w:val="28"/>
    </w:rPr>
  </w:style>
  <w:style w:type="paragraph" w:customStyle="1" w:styleId="179">
    <w:name w:val="标准文件_小写罗马数字编号列项"/>
    <w:basedOn w:val="66"/>
    <w:autoRedefine/>
    <w:qFormat/>
    <w:uiPriority w:val="0"/>
    <w:pPr>
      <w:numPr>
        <w:ilvl w:val="0"/>
        <w:numId w:val="24"/>
      </w:numPr>
      <w:ind w:firstLine="0" w:firstLineChars="0"/>
    </w:pPr>
    <w:rPr>
      <w:rFonts w:cs="Arial"/>
      <w:szCs w:val="28"/>
    </w:rPr>
  </w:style>
  <w:style w:type="paragraph" w:customStyle="1" w:styleId="180">
    <w:name w:val="标准文件_附录标题"/>
    <w:basedOn w:val="86"/>
    <w:autoRedefine/>
    <w:qFormat/>
    <w:uiPriority w:val="0"/>
    <w:pPr>
      <w:numPr>
        <w:numId w:val="0"/>
      </w:numPr>
      <w:spacing w:after="280"/>
      <w:outlineLvl w:val="9"/>
    </w:pPr>
  </w:style>
  <w:style w:type="paragraph" w:customStyle="1" w:styleId="181">
    <w:name w:val="标准文件_二级项"/>
    <w:autoRedefine/>
    <w:qFormat/>
    <w:uiPriority w:val="0"/>
    <w:rPr>
      <w:rFonts w:ascii="宋体" w:hAnsi="Times New Roman" w:eastAsia="宋体" w:cs="Times New Roman"/>
      <w:sz w:val="21"/>
      <w:lang w:val="en-US" w:eastAsia="zh-CN" w:bidi="ar-SA"/>
    </w:rPr>
  </w:style>
  <w:style w:type="paragraph" w:customStyle="1" w:styleId="182">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83">
    <w:name w:val="图表脚注说明"/>
    <w:basedOn w:val="1"/>
    <w:next w:val="66"/>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84">
    <w:name w:val="标准文件_字母编号列项（一级）"/>
    <w:autoRedefine/>
    <w:qFormat/>
    <w:uiPriority w:val="0"/>
    <w:pPr>
      <w:numPr>
        <w:ilvl w:val="0"/>
        <w:numId w:val="14"/>
      </w:numPr>
      <w:jc w:val="both"/>
    </w:pPr>
    <w:rPr>
      <w:rFonts w:ascii="宋体" w:hAnsi="Times New Roman" w:eastAsia="宋体" w:cs="Times New Roman"/>
      <w:sz w:val="21"/>
      <w:lang w:val="en-US" w:eastAsia="zh-CN" w:bidi="ar-SA"/>
    </w:rPr>
  </w:style>
  <w:style w:type="paragraph" w:customStyle="1" w:styleId="185">
    <w:name w:val="标准文件_索引字母"/>
    <w:next w:val="66"/>
    <w:autoRedefine/>
    <w:qFormat/>
    <w:uiPriority w:val="0"/>
    <w:pPr>
      <w:jc w:val="center"/>
    </w:pPr>
    <w:rPr>
      <w:rFonts w:ascii="宋体" w:hAnsi="宋体" w:eastAsia="Times New Roman" w:cs="Times New Roman"/>
      <w:b/>
      <w:kern w:val="2"/>
      <w:sz w:val="21"/>
      <w:lang w:val="en-US" w:eastAsia="zh-CN" w:bidi="ar-SA"/>
    </w:rPr>
  </w:style>
  <w:style w:type="paragraph" w:customStyle="1" w:styleId="186">
    <w:name w:val="标准文件_附录前"/>
    <w:next w:val="66"/>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7">
    <w:name w:val="标准文件_正文标准名称"/>
    <w:autoRedefine/>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8">
    <w:name w:val="标准文件_表格"/>
    <w:basedOn w:val="66"/>
    <w:autoRedefine/>
    <w:qFormat/>
    <w:uiPriority w:val="0"/>
    <w:pPr>
      <w:ind w:firstLine="0" w:firstLineChars="0"/>
      <w:jc w:val="center"/>
    </w:pPr>
    <w:rPr>
      <w:sz w:val="18"/>
    </w:rPr>
  </w:style>
  <w:style w:type="paragraph" w:customStyle="1" w:styleId="189">
    <w:name w:val="标准文件_注："/>
    <w:next w:val="66"/>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90">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91">
    <w:name w:val="标准文件_示例："/>
    <w:next w:val="192"/>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92">
    <w:name w:val="标准文件_示例内容"/>
    <w:basedOn w:val="66"/>
    <w:autoRedefine/>
    <w:qFormat/>
    <w:uiPriority w:val="0"/>
    <w:pPr>
      <w:ind w:firstLine="420"/>
    </w:pPr>
    <w:rPr>
      <w:sz w:val="18"/>
    </w:rPr>
  </w:style>
  <w:style w:type="paragraph" w:customStyle="1" w:styleId="193">
    <w:name w:val="标准文件_示例×："/>
    <w:basedOn w:val="1"/>
    <w:next w:val="192"/>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94">
    <w:name w:val="标准文件_段 Char"/>
    <w:link w:val="66"/>
    <w:autoRedefine/>
    <w:qFormat/>
    <w:uiPriority w:val="0"/>
    <w:rPr>
      <w:rFonts w:ascii="宋体" w:hAnsi="Times New Roman"/>
      <w:sz w:val="21"/>
    </w:rPr>
  </w:style>
  <w:style w:type="paragraph" w:customStyle="1" w:styleId="195">
    <w:name w:val="标准文件_表格续"/>
    <w:basedOn w:val="66"/>
    <w:next w:val="66"/>
    <w:autoRedefine/>
    <w:qFormat/>
    <w:uiPriority w:val="0"/>
    <w:pPr>
      <w:jc w:val="center"/>
    </w:pPr>
    <w:rPr>
      <w:rFonts w:ascii="黑体" w:hAnsi="黑体" w:eastAsia="黑体"/>
    </w:rPr>
  </w:style>
  <w:style w:type="character" w:styleId="196">
    <w:name w:val="Placeholder Text"/>
    <w:basedOn w:val="33"/>
    <w:autoRedefine/>
    <w:semiHidden/>
    <w:qFormat/>
    <w:uiPriority w:val="99"/>
    <w:rPr>
      <w:color w:val="808080"/>
    </w:rPr>
  </w:style>
  <w:style w:type="paragraph" w:customStyle="1" w:styleId="197">
    <w:name w:val="标准文件_二级项2"/>
    <w:basedOn w:val="66"/>
    <w:autoRedefine/>
    <w:qFormat/>
    <w:uiPriority w:val="0"/>
    <w:pPr>
      <w:numPr>
        <w:ilvl w:val="1"/>
        <w:numId w:val="21"/>
      </w:numPr>
      <w:ind w:left="1271" w:hanging="420" w:firstLineChars="0"/>
    </w:pPr>
  </w:style>
  <w:style w:type="paragraph" w:customStyle="1" w:styleId="198">
    <w:name w:val="标准文件_三级项2"/>
    <w:basedOn w:val="66"/>
    <w:autoRedefine/>
    <w:qFormat/>
    <w:uiPriority w:val="0"/>
    <w:pPr>
      <w:numPr>
        <w:ilvl w:val="0"/>
        <w:numId w:val="30"/>
      </w:numPr>
      <w:spacing w:line="300" w:lineRule="exact"/>
      <w:ind w:left="1276" w:hanging="425" w:firstLineChars="0"/>
    </w:pPr>
    <w:rPr>
      <w:rFonts w:ascii="Times New Roman"/>
    </w:rPr>
  </w:style>
  <w:style w:type="paragraph" w:customStyle="1" w:styleId="199">
    <w:name w:val="标准文件_一级项2"/>
    <w:basedOn w:val="66"/>
    <w:autoRedefine/>
    <w:qFormat/>
    <w:uiPriority w:val="0"/>
    <w:pPr>
      <w:numPr>
        <w:ilvl w:val="0"/>
        <w:numId w:val="31"/>
      </w:numPr>
      <w:spacing w:line="300" w:lineRule="exact"/>
      <w:ind w:left="1271" w:hanging="420" w:firstLineChars="0"/>
    </w:pPr>
    <w:rPr>
      <w:rFonts w:ascii="Times New Roman"/>
    </w:rPr>
  </w:style>
  <w:style w:type="paragraph" w:customStyle="1" w:styleId="200">
    <w:name w:val="标准文件_提示"/>
    <w:basedOn w:val="66"/>
    <w:next w:val="66"/>
    <w:autoRedefine/>
    <w:qFormat/>
    <w:uiPriority w:val="0"/>
    <w:pPr>
      <w:ind w:firstLine="420"/>
    </w:pPr>
    <w:rPr>
      <w:rFonts w:ascii="黑体" w:eastAsia="黑体"/>
    </w:rPr>
  </w:style>
  <w:style w:type="character" w:customStyle="1" w:styleId="201">
    <w:name w:val="标准文件_来源"/>
    <w:basedOn w:val="33"/>
    <w:autoRedefine/>
    <w:qFormat/>
    <w:uiPriority w:val="1"/>
    <w:rPr>
      <w:rFonts w:eastAsia="宋体"/>
      <w:sz w:val="21"/>
    </w:rPr>
  </w:style>
  <w:style w:type="paragraph" w:customStyle="1" w:styleId="202">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3">
    <w:name w:val="其他发布日期"/>
    <w:basedOn w:val="130"/>
    <w:autoRedefine/>
    <w:qFormat/>
    <w:uiPriority w:val="0"/>
    <w:pPr>
      <w:framePr w:w="3997" w:h="471" w:hRule="exact" w:hSpace="0" w:vSpace="181" w:wrap="around" w:vAnchor="page" w:hAnchor="page" w:x="1419" w:y="14097"/>
    </w:pPr>
  </w:style>
  <w:style w:type="paragraph" w:customStyle="1" w:styleId="204">
    <w:name w:val="其他实施日期"/>
    <w:basedOn w:val="164"/>
    <w:autoRedefine/>
    <w:qFormat/>
    <w:uiPriority w:val="0"/>
    <w:pPr>
      <w:framePr w:w="3997" w:h="471" w:hRule="exact" w:vSpace="181" w:wrap="around" w:vAnchor="page" w:hAnchor="page" w:x="7089" w:y="14097"/>
    </w:pPr>
  </w:style>
  <w:style w:type="paragraph" w:customStyle="1" w:styleId="205">
    <w:name w:val="标准文件_文件编号"/>
    <w:basedOn w:val="66"/>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6">
    <w:name w:val="标准文件_替换文件编号"/>
    <w:basedOn w:val="205"/>
    <w:autoRedefine/>
    <w:qFormat/>
    <w:uiPriority w:val="0"/>
    <w:pPr>
      <w:spacing w:before="57"/>
    </w:pPr>
    <w:rPr>
      <w:sz w:val="21"/>
    </w:rPr>
  </w:style>
  <w:style w:type="paragraph" w:customStyle="1" w:styleId="207">
    <w:name w:val="标准文件_文件名称"/>
    <w:basedOn w:val="66"/>
    <w:next w:val="66"/>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8">
    <w:name w:val="标准文件_附录图标号"/>
    <w:basedOn w:val="66"/>
    <w:next w:val="66"/>
    <w:autoRedefine/>
    <w:qFormat/>
    <w:uiPriority w:val="0"/>
    <w:pPr>
      <w:numPr>
        <w:ilvl w:val="0"/>
        <w:numId w:val="7"/>
      </w:numPr>
      <w:spacing w:line="14" w:lineRule="exact"/>
      <w:ind w:firstLine="0" w:firstLineChars="0"/>
      <w:jc w:val="center"/>
    </w:pPr>
    <w:rPr>
      <w:rFonts w:ascii="黑体" w:hAnsi="黑体" w:eastAsia="黑体"/>
      <w:vanish/>
      <w:sz w:val="2"/>
      <w:szCs w:val="21"/>
    </w:rPr>
  </w:style>
  <w:style w:type="paragraph" w:customStyle="1" w:styleId="209">
    <w:name w:val="标准文件_附录表标号"/>
    <w:basedOn w:val="66"/>
    <w:next w:val="66"/>
    <w:autoRedefine/>
    <w:qFormat/>
    <w:uiPriority w:val="0"/>
    <w:pPr>
      <w:numPr>
        <w:ilvl w:val="0"/>
        <w:numId w:val="6"/>
      </w:numPr>
      <w:spacing w:line="14" w:lineRule="exact"/>
      <w:ind w:firstLine="0" w:firstLineChars="0"/>
      <w:jc w:val="center"/>
    </w:pPr>
    <w:rPr>
      <w:rFonts w:eastAsia="黑体"/>
      <w:vanish/>
      <w:sz w:val="2"/>
    </w:rPr>
  </w:style>
  <w:style w:type="paragraph" w:customStyle="1" w:styleId="210">
    <w:name w:val="标准文件_引言一级条标题"/>
    <w:basedOn w:val="66"/>
    <w:next w:val="66"/>
    <w:autoRedefine/>
    <w:qFormat/>
    <w:uiPriority w:val="0"/>
    <w:pPr>
      <w:numPr>
        <w:ilvl w:val="1"/>
        <w:numId w:val="9"/>
      </w:numPr>
      <w:spacing w:before="50" w:beforeLines="50" w:after="50" w:afterLines="50"/>
      <w:ind w:firstLineChars="0"/>
    </w:pPr>
    <w:rPr>
      <w:rFonts w:ascii="黑体" w:eastAsia="黑体"/>
    </w:rPr>
  </w:style>
  <w:style w:type="paragraph" w:customStyle="1" w:styleId="211">
    <w:name w:val="标准文件_引言二级条标题"/>
    <w:basedOn w:val="66"/>
    <w:next w:val="66"/>
    <w:autoRedefine/>
    <w:qFormat/>
    <w:uiPriority w:val="0"/>
    <w:pPr>
      <w:numPr>
        <w:ilvl w:val="2"/>
        <w:numId w:val="9"/>
      </w:numPr>
      <w:spacing w:before="50" w:beforeLines="50" w:after="50" w:afterLines="50"/>
      <w:ind w:firstLineChars="0"/>
    </w:pPr>
    <w:rPr>
      <w:rFonts w:ascii="黑体" w:eastAsia="黑体"/>
    </w:rPr>
  </w:style>
  <w:style w:type="paragraph" w:customStyle="1" w:styleId="212">
    <w:name w:val="标准文件_引言三级条标题"/>
    <w:basedOn w:val="66"/>
    <w:next w:val="66"/>
    <w:autoRedefine/>
    <w:qFormat/>
    <w:uiPriority w:val="0"/>
    <w:pPr>
      <w:numPr>
        <w:ilvl w:val="3"/>
        <w:numId w:val="9"/>
      </w:numPr>
      <w:spacing w:before="50" w:beforeLines="50" w:after="50" w:afterLines="50"/>
      <w:ind w:firstLineChars="0"/>
    </w:pPr>
    <w:rPr>
      <w:rFonts w:ascii="黑体" w:eastAsia="黑体"/>
    </w:rPr>
  </w:style>
  <w:style w:type="paragraph" w:customStyle="1" w:styleId="213">
    <w:name w:val="标准文件_引言四级条标题"/>
    <w:basedOn w:val="66"/>
    <w:next w:val="66"/>
    <w:autoRedefine/>
    <w:qFormat/>
    <w:uiPriority w:val="0"/>
    <w:pPr>
      <w:numPr>
        <w:ilvl w:val="4"/>
        <w:numId w:val="9"/>
      </w:numPr>
      <w:spacing w:before="50" w:beforeLines="50" w:after="50" w:afterLines="50"/>
      <w:ind w:firstLineChars="0"/>
    </w:pPr>
    <w:rPr>
      <w:rFonts w:ascii="黑体" w:eastAsia="黑体"/>
    </w:rPr>
  </w:style>
  <w:style w:type="paragraph" w:customStyle="1" w:styleId="214">
    <w:name w:val="标准文件_引言五级条标题"/>
    <w:basedOn w:val="66"/>
    <w:next w:val="66"/>
    <w:autoRedefine/>
    <w:qFormat/>
    <w:uiPriority w:val="0"/>
    <w:pPr>
      <w:numPr>
        <w:ilvl w:val="5"/>
        <w:numId w:val="9"/>
      </w:numPr>
      <w:spacing w:before="50" w:beforeLines="50" w:after="50" w:afterLines="50"/>
      <w:ind w:firstLineChars="0"/>
    </w:pPr>
    <w:rPr>
      <w:rFonts w:ascii="黑体" w:eastAsia="黑体"/>
    </w:rPr>
  </w:style>
  <w:style w:type="paragraph" w:customStyle="1" w:styleId="215">
    <w:name w:val="标准文件_注后"/>
    <w:basedOn w:val="66"/>
    <w:autoRedefine/>
    <w:qFormat/>
    <w:uiPriority w:val="0"/>
    <w:pPr>
      <w:ind w:left="811" w:firstLine="0" w:firstLineChars="0"/>
    </w:pPr>
    <w:rPr>
      <w:sz w:val="18"/>
    </w:rPr>
  </w:style>
  <w:style w:type="paragraph" w:customStyle="1" w:styleId="216">
    <w:name w:val="标准文件_注X后"/>
    <w:basedOn w:val="66"/>
    <w:autoRedefine/>
    <w:qFormat/>
    <w:uiPriority w:val="0"/>
    <w:pPr>
      <w:ind w:left="811" w:firstLine="0" w:firstLineChars="0"/>
    </w:pPr>
    <w:rPr>
      <w:sz w:val="18"/>
    </w:rPr>
  </w:style>
  <w:style w:type="paragraph" w:customStyle="1" w:styleId="217">
    <w:name w:val="标准文件_示例后"/>
    <w:basedOn w:val="66"/>
    <w:autoRedefine/>
    <w:qFormat/>
    <w:uiPriority w:val="0"/>
    <w:pPr>
      <w:ind w:left="964" w:firstLine="0" w:firstLineChars="0"/>
    </w:pPr>
    <w:rPr>
      <w:sz w:val="18"/>
    </w:rPr>
  </w:style>
  <w:style w:type="paragraph" w:customStyle="1" w:styleId="218">
    <w:name w:val="标准文件_示例X后"/>
    <w:basedOn w:val="66"/>
    <w:link w:val="219"/>
    <w:autoRedefine/>
    <w:qFormat/>
    <w:uiPriority w:val="0"/>
    <w:pPr>
      <w:ind w:left="1049" w:firstLine="0" w:firstLineChars="0"/>
    </w:pPr>
    <w:rPr>
      <w:sz w:val="18"/>
    </w:rPr>
  </w:style>
  <w:style w:type="character" w:customStyle="1" w:styleId="219">
    <w:name w:val="标准文件_示例X后 字符"/>
    <w:basedOn w:val="194"/>
    <w:link w:val="218"/>
    <w:autoRedefine/>
    <w:qFormat/>
    <w:uiPriority w:val="0"/>
    <w:rPr>
      <w:rFonts w:ascii="宋体" w:hAnsi="Times New Roman"/>
      <w:sz w:val="18"/>
    </w:rPr>
  </w:style>
  <w:style w:type="paragraph" w:customStyle="1" w:styleId="220">
    <w:name w:val="标准文件_索引项"/>
    <w:basedOn w:val="66"/>
    <w:next w:val="66"/>
    <w:autoRedefine/>
    <w:qFormat/>
    <w:uiPriority w:val="0"/>
    <w:pPr>
      <w:tabs>
        <w:tab w:val="right" w:leader="dot" w:pos="9356"/>
      </w:tabs>
      <w:ind w:left="210" w:hanging="210" w:firstLineChars="0"/>
      <w:jc w:val="left"/>
    </w:pPr>
  </w:style>
  <w:style w:type="paragraph" w:customStyle="1" w:styleId="221">
    <w:name w:val="标准文件_附录一级无标题"/>
    <w:basedOn w:val="88"/>
    <w:autoRedefine/>
    <w:qFormat/>
    <w:uiPriority w:val="0"/>
    <w:pPr>
      <w:spacing w:before="0" w:beforeLines="0" w:after="0" w:afterLines="0" w:line="276" w:lineRule="auto"/>
      <w:outlineLvl w:val="9"/>
    </w:pPr>
    <w:rPr>
      <w:rFonts w:ascii="宋体" w:eastAsia="宋体"/>
    </w:rPr>
  </w:style>
  <w:style w:type="paragraph" w:customStyle="1" w:styleId="222">
    <w:name w:val="标准文件_附录二级无标题"/>
    <w:basedOn w:val="89"/>
    <w:autoRedefine/>
    <w:qFormat/>
    <w:uiPriority w:val="0"/>
    <w:pPr>
      <w:spacing w:before="0" w:beforeLines="0" w:after="0" w:afterLines="0" w:line="276" w:lineRule="auto"/>
      <w:outlineLvl w:val="9"/>
    </w:pPr>
    <w:rPr>
      <w:rFonts w:ascii="宋体" w:eastAsia="宋体"/>
    </w:rPr>
  </w:style>
  <w:style w:type="paragraph" w:customStyle="1" w:styleId="223">
    <w:name w:val="标准文件_附录三级无标题"/>
    <w:basedOn w:val="91"/>
    <w:autoRedefine/>
    <w:qFormat/>
    <w:uiPriority w:val="0"/>
    <w:pPr>
      <w:spacing w:before="0" w:beforeLines="0" w:after="0" w:afterLines="0" w:line="276" w:lineRule="auto"/>
      <w:outlineLvl w:val="9"/>
    </w:pPr>
    <w:rPr>
      <w:rFonts w:ascii="宋体" w:eastAsia="宋体"/>
    </w:rPr>
  </w:style>
  <w:style w:type="paragraph" w:customStyle="1" w:styleId="224">
    <w:name w:val="标准文件_附录四级无标题"/>
    <w:basedOn w:val="92"/>
    <w:autoRedefine/>
    <w:qFormat/>
    <w:uiPriority w:val="0"/>
    <w:pPr>
      <w:spacing w:before="0" w:beforeLines="0" w:after="0" w:afterLines="0" w:line="276" w:lineRule="auto"/>
      <w:outlineLvl w:val="9"/>
    </w:pPr>
    <w:rPr>
      <w:rFonts w:ascii="宋体" w:eastAsia="宋体"/>
    </w:rPr>
  </w:style>
  <w:style w:type="paragraph" w:customStyle="1" w:styleId="225">
    <w:name w:val="标准文件_附录五级无标题"/>
    <w:basedOn w:val="94"/>
    <w:autoRedefine/>
    <w:qFormat/>
    <w:uiPriority w:val="0"/>
    <w:pPr>
      <w:spacing w:before="0" w:beforeLines="0" w:after="0" w:afterLines="0" w:line="276" w:lineRule="auto"/>
      <w:outlineLvl w:val="9"/>
    </w:pPr>
    <w:rPr>
      <w:rFonts w:ascii="宋体" w:eastAsia="宋体"/>
    </w:rPr>
  </w:style>
  <w:style w:type="paragraph" w:customStyle="1" w:styleId="226">
    <w:name w:val="标准文件_引言一级无标题"/>
    <w:basedOn w:val="210"/>
    <w:next w:val="66"/>
    <w:autoRedefine/>
    <w:qFormat/>
    <w:uiPriority w:val="0"/>
    <w:pPr>
      <w:spacing w:before="0" w:beforeLines="0" w:after="0" w:afterLines="0" w:line="276" w:lineRule="auto"/>
    </w:pPr>
    <w:rPr>
      <w:rFonts w:ascii="宋体" w:eastAsia="宋体"/>
    </w:rPr>
  </w:style>
  <w:style w:type="paragraph" w:customStyle="1" w:styleId="227">
    <w:name w:val="标准文件_引言二级无标题"/>
    <w:basedOn w:val="211"/>
    <w:next w:val="66"/>
    <w:autoRedefine/>
    <w:qFormat/>
    <w:uiPriority w:val="0"/>
    <w:pPr>
      <w:spacing w:before="0" w:beforeLines="0" w:after="0" w:afterLines="0" w:line="276" w:lineRule="auto"/>
    </w:pPr>
    <w:rPr>
      <w:rFonts w:ascii="宋体" w:eastAsia="宋体"/>
    </w:rPr>
  </w:style>
  <w:style w:type="paragraph" w:customStyle="1" w:styleId="228">
    <w:name w:val="标准文件_引言三级无标题"/>
    <w:basedOn w:val="212"/>
    <w:next w:val="66"/>
    <w:autoRedefine/>
    <w:qFormat/>
    <w:uiPriority w:val="0"/>
    <w:pPr>
      <w:spacing w:before="0" w:beforeLines="0" w:after="0" w:afterLines="0" w:line="276" w:lineRule="auto"/>
    </w:pPr>
    <w:rPr>
      <w:rFonts w:ascii="宋体" w:eastAsia="宋体"/>
    </w:rPr>
  </w:style>
  <w:style w:type="paragraph" w:customStyle="1" w:styleId="229">
    <w:name w:val="标准文件_引言四级无标题"/>
    <w:basedOn w:val="213"/>
    <w:next w:val="66"/>
    <w:autoRedefine/>
    <w:qFormat/>
    <w:uiPriority w:val="0"/>
    <w:pPr>
      <w:spacing w:before="0" w:beforeLines="0" w:after="0" w:afterLines="0" w:line="276" w:lineRule="auto"/>
    </w:pPr>
    <w:rPr>
      <w:rFonts w:ascii="宋体" w:eastAsia="宋体"/>
    </w:rPr>
  </w:style>
  <w:style w:type="paragraph" w:customStyle="1" w:styleId="230">
    <w:name w:val="标准文件_引言五级无标题"/>
    <w:basedOn w:val="214"/>
    <w:next w:val="66"/>
    <w:autoRedefine/>
    <w:qFormat/>
    <w:uiPriority w:val="0"/>
    <w:pPr>
      <w:spacing w:before="0" w:beforeLines="0" w:after="0" w:afterLines="0" w:line="276" w:lineRule="auto"/>
    </w:pPr>
    <w:rPr>
      <w:rFonts w:ascii="宋体" w:eastAsia="宋体"/>
    </w:rPr>
  </w:style>
  <w:style w:type="paragraph" w:customStyle="1" w:styleId="231">
    <w:name w:val="标准文件_索引标题"/>
    <w:basedOn w:val="73"/>
    <w:next w:val="66"/>
    <w:autoRedefine/>
    <w:qFormat/>
    <w:uiPriority w:val="0"/>
    <w:rPr>
      <w:rFonts w:hAnsi="黑体"/>
    </w:rPr>
  </w:style>
  <w:style w:type="paragraph" w:customStyle="1" w:styleId="232">
    <w:name w:val="标准文件_脚注内容"/>
    <w:basedOn w:val="66"/>
    <w:autoRedefine/>
    <w:qFormat/>
    <w:uiPriority w:val="0"/>
    <w:pPr>
      <w:ind w:left="400" w:leftChars="200" w:hanging="200" w:hangingChars="200"/>
    </w:pPr>
    <w:rPr>
      <w:sz w:val="15"/>
    </w:rPr>
  </w:style>
  <w:style w:type="paragraph" w:customStyle="1" w:styleId="233">
    <w:name w:val="标准文件_术语条一"/>
    <w:basedOn w:val="172"/>
    <w:next w:val="66"/>
    <w:autoRedefine/>
    <w:qFormat/>
    <w:uiPriority w:val="0"/>
  </w:style>
  <w:style w:type="paragraph" w:customStyle="1" w:styleId="234">
    <w:name w:val="标准文件_术语条二"/>
    <w:basedOn w:val="175"/>
    <w:next w:val="66"/>
    <w:autoRedefine/>
    <w:qFormat/>
    <w:uiPriority w:val="0"/>
  </w:style>
  <w:style w:type="paragraph" w:customStyle="1" w:styleId="235">
    <w:name w:val="标准文件_术语条三"/>
    <w:basedOn w:val="174"/>
    <w:next w:val="66"/>
    <w:autoRedefine/>
    <w:qFormat/>
    <w:uiPriority w:val="0"/>
  </w:style>
  <w:style w:type="paragraph" w:customStyle="1" w:styleId="236">
    <w:name w:val="标准文件_术语条四"/>
    <w:basedOn w:val="177"/>
    <w:next w:val="66"/>
    <w:autoRedefine/>
    <w:qFormat/>
    <w:uiPriority w:val="0"/>
  </w:style>
  <w:style w:type="paragraph" w:customStyle="1" w:styleId="237">
    <w:name w:val="标准文件_术语条五"/>
    <w:basedOn w:val="173"/>
    <w:next w:val="66"/>
    <w:autoRedefine/>
    <w:qFormat/>
    <w:uiPriority w:val="0"/>
  </w:style>
  <w:style w:type="paragraph" w:customStyle="1" w:styleId="23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9">
    <w:name w:val="发布"/>
    <w:basedOn w:val="33"/>
    <w:autoRedefine/>
    <w:qFormat/>
    <w:uiPriority w:val="0"/>
    <w:rPr>
      <w:rFonts w:ascii="黑体" w:eastAsia="黑体"/>
      <w:spacing w:val="85"/>
      <w:w w:val="100"/>
      <w:position w:val="3"/>
      <w:sz w:val="28"/>
      <w:szCs w:val="28"/>
    </w:rPr>
  </w:style>
  <w:style w:type="character" w:customStyle="1" w:styleId="240">
    <w:name w:val="段 Char"/>
    <w:link w:val="41"/>
    <w:autoRedefine/>
    <w:qFormat/>
    <w:uiPriority w:val="0"/>
    <w:rPr>
      <w:rFonts w:ascii="宋体" w:hAnsi="Times New Roman"/>
      <w:sz w:val="21"/>
    </w:rPr>
  </w:style>
  <w:style w:type="paragraph" w:customStyle="1" w:styleId="241">
    <w:name w:val="二级无"/>
    <w:basedOn w:val="39"/>
    <w:autoRedefine/>
    <w:qFormat/>
    <w:uiPriority w:val="0"/>
    <w:pPr>
      <w:ind w:left="851"/>
    </w:pPr>
    <w:rPr>
      <w:rFonts w:ascii="宋体"/>
    </w:rPr>
  </w:style>
  <w:style w:type="paragraph" w:customStyle="1" w:styleId="242">
    <w:name w:val="三级无"/>
    <w:basedOn w:val="1"/>
    <w:autoRedefine/>
    <w:qFormat/>
    <w:uiPriority w:val="0"/>
    <w:pPr>
      <w:widowControl/>
      <w:adjustRightInd/>
      <w:spacing w:beforeLines="50" w:afterLines="50" w:line="240" w:lineRule="auto"/>
      <w:ind w:left="1135"/>
      <w:jc w:val="left"/>
      <w:outlineLvl w:val="4"/>
    </w:pPr>
    <w:rPr>
      <w:rFonts w:ascii="宋体" w:hAnsi="Times New Roman"/>
      <w:kern w:val="0"/>
    </w:rPr>
  </w:style>
  <w:style w:type="paragraph" w:customStyle="1" w:styleId="243">
    <w:name w:val="表内文字（L）"/>
    <w:basedOn w:val="1"/>
    <w:autoRedefine/>
    <w:qFormat/>
    <w:uiPriority w:val="0"/>
    <w:pPr>
      <w:snapToGrid w:val="0"/>
      <w:spacing w:before="93" w:beforeLines="30" w:line="240" w:lineRule="auto"/>
    </w:pPr>
    <w:rPr>
      <w:rFonts w:ascii="Arial" w:hAnsi="Arial" w:cs="宋体" w:eastAsiaTheme="minorEastAsia"/>
      <w:bCs/>
      <w:szCs w:val="20"/>
    </w:rPr>
  </w:style>
  <w:style w:type="paragraph" w:customStyle="1" w:styleId="244">
    <w:name w:val="附录标识"/>
    <w:basedOn w:val="245"/>
    <w:next w:val="41"/>
    <w:autoRedefine/>
    <w:qFormat/>
    <w:uiPriority w:val="99"/>
    <w:pPr>
      <w:numPr>
        <w:ilvl w:val="0"/>
        <w:numId w:val="32"/>
      </w:numPr>
      <w:tabs>
        <w:tab w:val="left" w:pos="6405"/>
      </w:tabs>
      <w:spacing w:after="280"/>
    </w:pPr>
    <w:rPr>
      <w:rFonts w:hAnsi="Times New Roman"/>
    </w:rPr>
  </w:style>
  <w:style w:type="paragraph" w:customStyle="1" w:styleId="245">
    <w:name w:val="前言、引言标题"/>
    <w:next w:val="1"/>
    <w:qFormat/>
    <w:uiPriority w:val="0"/>
    <w:pPr>
      <w:keepNext/>
      <w:pageBreakBefore/>
      <w:shd w:val="clear" w:color="FFFFFF" w:fill="FFFFFF"/>
      <w:spacing w:before="640" w:after="560"/>
      <w:jc w:val="center"/>
      <w:outlineLvl w:val="0"/>
    </w:pPr>
    <w:rPr>
      <w:rFonts w:ascii="黑体" w:hAnsi="Calibri" w:eastAsia="黑体" w:cs="Calibri"/>
      <w:sz w:val="32"/>
      <w:lang w:val="en-US" w:eastAsia="zh-CN" w:bidi="ar-SA"/>
    </w:rPr>
  </w:style>
  <w:style w:type="paragraph" w:customStyle="1" w:styleId="246">
    <w:name w:val="附录章标题"/>
    <w:next w:val="41"/>
    <w:autoRedefine/>
    <w:qFormat/>
    <w:uiPriority w:val="99"/>
    <w:pPr>
      <w:numPr>
        <w:ilvl w:val="1"/>
        <w:numId w:val="32"/>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47">
    <w:name w:val="修订1"/>
    <w:autoRedefine/>
    <w:hidden/>
    <w:semiHidden/>
    <w:qFormat/>
    <w:uiPriority w:val="99"/>
    <w:rPr>
      <w:rFonts w:ascii="Calibri" w:hAnsi="Calibri" w:eastAsia="宋体" w:cs="Times New Roman"/>
      <w:kern w:val="2"/>
      <w:sz w:val="21"/>
      <w:szCs w:val="21"/>
      <w:lang w:val="en-US" w:eastAsia="zh-CN" w:bidi="ar-SA"/>
    </w:rPr>
  </w:style>
  <w:style w:type="paragraph" w:customStyle="1" w:styleId="248">
    <w:name w:val="修订2"/>
    <w:autoRedefine/>
    <w:hidden/>
    <w:semiHidden/>
    <w:qFormat/>
    <w:uiPriority w:val="99"/>
    <w:rPr>
      <w:rFonts w:ascii="Calibri" w:hAnsi="Calibri" w:eastAsia="宋体" w:cs="Times New Roman"/>
      <w:kern w:val="2"/>
      <w:sz w:val="21"/>
      <w:szCs w:val="21"/>
      <w:lang w:val="en-US" w:eastAsia="zh-CN" w:bidi="ar-SA"/>
    </w:rPr>
  </w:style>
  <w:style w:type="paragraph" w:customStyle="1" w:styleId="249">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250">
    <w:name w:val="正文标题"/>
    <w:basedOn w:val="1"/>
    <w:next w:val="1"/>
    <w:autoRedefine/>
    <w:qFormat/>
    <w:uiPriority w:val="0"/>
    <w:pPr>
      <w:autoSpaceDE w:val="0"/>
      <w:autoSpaceDN w:val="0"/>
      <w:spacing w:line="264" w:lineRule="auto"/>
      <w:ind w:firstLine="420"/>
      <w:jc w:val="left"/>
    </w:pPr>
    <w:rPr>
      <w:rFonts w:ascii="Times New Roman" w:hAnsi="Times New Roman" w:eastAsia="黑体"/>
      <w:bCs/>
      <w:kern w:val="0"/>
    </w:rPr>
  </w:style>
  <w:style w:type="paragraph" w:customStyle="1" w:styleId="251">
    <w:name w:val="正文标题-无缩进"/>
    <w:basedOn w:val="250"/>
    <w:next w:val="1"/>
    <w:autoRedefine/>
    <w:qFormat/>
    <w:uiPriority w:val="0"/>
    <w:pPr>
      <w:spacing w:line="240" w:lineRule="auto"/>
      <w:ind w:firstLine="0"/>
    </w:pPr>
    <w:rPr>
      <w:b/>
    </w:rPr>
  </w:style>
  <w:style w:type="paragraph" w:customStyle="1" w:styleId="252">
    <w:name w:val="正文-表格"/>
    <w:basedOn w:val="1"/>
    <w:next w:val="1"/>
    <w:autoRedefine/>
    <w:qFormat/>
    <w:uiPriority w:val="0"/>
    <w:pPr>
      <w:widowControl/>
      <w:adjustRightInd/>
      <w:spacing w:line="240" w:lineRule="auto"/>
      <w:jc w:val="left"/>
      <w:textAlignment w:val="center"/>
    </w:pPr>
    <w:rPr>
      <w:rFonts w:ascii="宋体" w:hAnsi="宋体"/>
      <w:color w:val="000000"/>
      <w:kern w:val="0"/>
    </w:rPr>
  </w:style>
  <w:style w:type="character" w:customStyle="1" w:styleId="253">
    <w:name w:val="10"/>
    <w:basedOn w:val="33"/>
    <w:autoRedefine/>
    <w:qFormat/>
    <w:uiPriority w:val="0"/>
    <w:rPr>
      <w:rFonts w:hint="default" w:ascii="Times New Roman" w:hAnsi="Times New Roman" w:cs="Times New Roman"/>
    </w:rPr>
  </w:style>
  <w:style w:type="paragraph" w:styleId="254">
    <w:name w:val="List Paragraph"/>
    <w:basedOn w:val="1"/>
    <w:autoRedefine/>
    <w:qFormat/>
    <w:uiPriority w:val="99"/>
    <w:pPr>
      <w:ind w:firstLine="420" w:firstLineChars="200"/>
    </w:pPr>
  </w:style>
  <w:style w:type="paragraph" w:customStyle="1" w:styleId="255">
    <w:name w:val="四号正文"/>
    <w:basedOn w:val="256"/>
    <w:autoRedefine/>
    <w:qFormat/>
    <w:uiPriority w:val="0"/>
    <w:pPr>
      <w:ind w:firstLine="560"/>
    </w:pPr>
    <w:rPr>
      <w:sz w:val="28"/>
      <w:szCs w:val="28"/>
    </w:rPr>
  </w:style>
  <w:style w:type="paragraph" w:customStyle="1" w:styleId="256">
    <w:name w:val="小四正文"/>
    <w:basedOn w:val="1"/>
    <w:autoRedefine/>
    <w:qFormat/>
    <w:uiPriority w:val="0"/>
    <w:pPr>
      <w:ind w:firstLine="480"/>
    </w:pPr>
  </w:style>
  <w:style w:type="paragraph" w:customStyle="1" w:styleId="257">
    <w:name w:val="表名图名"/>
    <w:basedOn w:val="4"/>
    <w:next w:val="1"/>
    <w:autoRedefine/>
    <w:qFormat/>
    <w:uiPriority w:val="0"/>
    <w:pPr>
      <w:tabs>
        <w:tab w:val="left" w:pos="210"/>
        <w:tab w:val="left" w:pos="420"/>
      </w:tabs>
      <w:spacing w:line="240" w:lineRule="auto"/>
      <w:jc w:val="center"/>
    </w:pPr>
    <w:rPr>
      <w:rFonts w:eastAsia="黑体"/>
      <w:b w:val="0"/>
      <w:sz w:val="21"/>
      <w:szCs w:val="22"/>
    </w:rPr>
  </w:style>
  <w:style w:type="paragraph" w:customStyle="1" w:styleId="258">
    <w:name w:val="表格"/>
    <w:basedOn w:val="1"/>
    <w:autoRedefine/>
    <w:qFormat/>
    <w:uiPriority w:val="0"/>
    <w:pPr>
      <w:snapToGrid w:val="0"/>
      <w:spacing w:line="240" w:lineRule="auto"/>
      <w:jc w:val="center"/>
    </w:pPr>
    <w:rPr>
      <w:rFonts w:ascii="宋体" w:hAnsi="宋体"/>
    </w:rPr>
  </w:style>
  <w:style w:type="character" w:customStyle="1" w:styleId="259">
    <w:name w:val="font31"/>
    <w:basedOn w:val="33"/>
    <w:autoRedefine/>
    <w:qFormat/>
    <w:uiPriority w:val="0"/>
    <w:rPr>
      <w:rFonts w:hint="eastAsia" w:ascii="宋体" w:hAnsi="宋体" w:eastAsia="宋体" w:cs="宋体"/>
      <w:color w:val="000000"/>
      <w:sz w:val="22"/>
      <w:szCs w:val="22"/>
      <w:u w:val="none"/>
    </w:rPr>
  </w:style>
  <w:style w:type="character" w:customStyle="1" w:styleId="260">
    <w:name w:val="font41"/>
    <w:basedOn w:val="33"/>
    <w:autoRedefine/>
    <w:qFormat/>
    <w:uiPriority w:val="0"/>
    <w:rPr>
      <w:rFonts w:hint="eastAsia" w:ascii="宋体" w:hAnsi="宋体" w:eastAsia="宋体" w:cs="宋体"/>
      <w:color w:val="000000"/>
      <w:sz w:val="22"/>
      <w:szCs w:val="22"/>
      <w:u w:val="none"/>
    </w:rPr>
  </w:style>
  <w:style w:type="paragraph" w:customStyle="1" w:styleId="261">
    <w:name w:val="列出段落1"/>
    <w:basedOn w:val="1"/>
    <w:autoRedefine/>
    <w:qFormat/>
    <w:uiPriority w:val="34"/>
    <w:pPr>
      <w:ind w:firstLine="420" w:firstLineChars="200"/>
    </w:pPr>
  </w:style>
  <w:style w:type="paragraph" w:customStyle="1" w:styleId="262">
    <w:name w:val="附录"/>
    <w:basedOn w:val="1"/>
    <w:next w:val="1"/>
    <w:autoRedefine/>
    <w:qFormat/>
    <w:uiPriority w:val="0"/>
    <w:pPr>
      <w:keepNext/>
      <w:keepLines/>
      <w:numPr>
        <w:ilvl w:val="0"/>
        <w:numId w:val="33"/>
      </w:numPr>
      <w:tabs>
        <w:tab w:val="left" w:pos="860"/>
      </w:tabs>
      <w:adjustRightInd/>
      <w:spacing w:line="240" w:lineRule="auto"/>
      <w:jc w:val="left"/>
      <w:outlineLvl w:val="2"/>
    </w:pPr>
    <w:rPr>
      <w:rFonts w:hint="eastAsia" w:eastAsia="黑体"/>
      <w:b/>
      <w:bCs/>
      <w:szCs w:val="32"/>
    </w:rPr>
  </w:style>
  <w:style w:type="character" w:customStyle="1" w:styleId="263">
    <w:name w:val="font21"/>
    <w:basedOn w:val="33"/>
    <w:qFormat/>
    <w:uiPriority w:val="0"/>
    <w:rPr>
      <w:rFonts w:hint="default" w:ascii="Times New Roman" w:hAnsi="Times New Roman" w:cs="Times New Roman"/>
      <w:color w:val="000000"/>
      <w:sz w:val="21"/>
      <w:szCs w:val="21"/>
      <w:u w:val="none"/>
    </w:rPr>
  </w:style>
  <w:style w:type="paragraph" w:customStyle="1" w:styleId="264">
    <w:name w:val="标准书眉_奇数页"/>
    <w:next w:val="1"/>
    <w:qFormat/>
    <w:uiPriority w:val="0"/>
    <w:pPr>
      <w:tabs>
        <w:tab w:val="center" w:pos="4154"/>
        <w:tab w:val="right" w:pos="8306"/>
      </w:tabs>
      <w:spacing w:after="220"/>
      <w:jc w:val="right"/>
    </w:pPr>
    <w:rPr>
      <w:rFonts w:ascii="黑体" w:hAnsi="Calibri" w:eastAsia="黑体" w:cs="Calibri"/>
      <w:sz w:val="21"/>
      <w:szCs w:val="21"/>
      <w:lang w:val="en-US" w:eastAsia="zh-CN" w:bidi="ar-SA"/>
    </w:rPr>
  </w:style>
  <w:style w:type="paragraph" w:customStyle="1" w:styleId="265">
    <w:name w:val="标准书眉_偶数页"/>
    <w:basedOn w:val="264"/>
    <w:next w:val="1"/>
    <w:qFormat/>
    <w:uiPriority w:val="0"/>
    <w:pPr>
      <w:jc w:val="left"/>
    </w:pPr>
  </w:style>
  <w:style w:type="paragraph" w:customStyle="1" w:styleId="266">
    <w:name w:val="标准书脚_奇数页"/>
    <w:qFormat/>
    <w:uiPriority w:val="0"/>
    <w:pPr>
      <w:spacing w:before="120"/>
      <w:ind w:right="198"/>
      <w:jc w:val="right"/>
    </w:pPr>
    <w:rPr>
      <w:rFonts w:ascii="宋体" w:hAnsi="Calibri" w:eastAsia="宋体" w:cs="Calibri"/>
      <w:sz w:val="18"/>
      <w:szCs w:val="18"/>
      <w:lang w:val="en-US" w:eastAsia="zh-CN" w:bidi="ar-SA"/>
    </w:rPr>
  </w:style>
  <w:style w:type="paragraph" w:customStyle="1" w:styleId="267">
    <w:name w:val="标准书脚_偶数页"/>
    <w:qFormat/>
    <w:uiPriority w:val="0"/>
    <w:pPr>
      <w:spacing w:before="120"/>
      <w:ind w:left="221"/>
    </w:pPr>
    <w:rPr>
      <w:rFonts w:ascii="宋体" w:hAnsi="Calibri" w:eastAsia="宋体" w:cs="Calibri"/>
      <w:sz w:val="18"/>
      <w:szCs w:val="18"/>
      <w:lang w:val="en-US" w:eastAsia="zh-CN" w:bidi="ar-SA"/>
    </w:rPr>
  </w:style>
  <w:style w:type="paragraph" w:customStyle="1" w:styleId="268">
    <w:name w:val="一级无"/>
    <w:basedOn w:val="40"/>
    <w:qFormat/>
    <w:uiPriority w:val="0"/>
    <w:pPr>
      <w:numPr>
        <w:ilvl w:val="1"/>
        <w:numId w:val="1"/>
      </w:numPr>
      <w:spacing w:beforeLines="0" w:afterLines="0"/>
    </w:pPr>
    <w:rPr>
      <w:rFonts w:ascii="宋体" w:eastAsia="宋体"/>
    </w:rPr>
  </w:style>
  <w:style w:type="paragraph" w:customStyle="1" w:styleId="269">
    <w:name w:val="正文图标题"/>
    <w:next w:val="41"/>
    <w:qFormat/>
    <w:uiPriority w:val="0"/>
    <w:pPr>
      <w:numPr>
        <w:ilvl w:val="0"/>
        <w:numId w:val="34"/>
      </w:numPr>
      <w:tabs>
        <w:tab w:val="left" w:pos="360"/>
        <w:tab w:val="clear" w:pos="0"/>
      </w:tabs>
      <w:spacing w:before="50" w:beforeLines="50" w:after="50" w:afterLines="50"/>
      <w:jc w:val="center"/>
    </w:pPr>
    <w:rPr>
      <w:rFonts w:ascii="黑体" w:hAnsi="黑体" w:eastAsia="黑体" w:cs="Calibri"/>
      <w:sz w:val="21"/>
      <w:lang w:val="en-US" w:eastAsia="zh-CN" w:bidi="ar-SA"/>
    </w:rPr>
  </w:style>
  <w:style w:type="paragraph" w:customStyle="1" w:styleId="270">
    <w:name w:val="正文表标题"/>
    <w:next w:val="41"/>
    <w:qFormat/>
    <w:uiPriority w:val="0"/>
    <w:pPr>
      <w:numPr>
        <w:ilvl w:val="0"/>
        <w:numId w:val="35"/>
      </w:numPr>
      <w:spacing w:beforeLines="50" w:afterLines="50"/>
      <w:jc w:val="center"/>
    </w:pPr>
    <w:rPr>
      <w:rFonts w:ascii="黑体" w:hAnsi="Calibri" w:eastAsia="黑体" w:cs="Calibri"/>
      <w:sz w:val="21"/>
      <w:lang w:val="en-US" w:eastAsia="zh-CN" w:bidi="ar-SA"/>
    </w:rPr>
  </w:style>
  <w:style w:type="paragraph" w:customStyle="1" w:styleId="271">
    <w:name w:val="附录图标题"/>
    <w:basedOn w:val="1"/>
    <w:next w:val="41"/>
    <w:qFormat/>
    <w:uiPriority w:val="0"/>
    <w:pPr>
      <w:numPr>
        <w:ilvl w:val="1"/>
        <w:numId w:val="36"/>
      </w:numPr>
      <w:tabs>
        <w:tab w:val="left" w:pos="363"/>
      </w:tabs>
      <w:spacing w:beforeLines="50" w:afterLines="50"/>
      <w:jc w:val="center"/>
    </w:pPr>
    <w:rPr>
      <w:rFonts w:ascii="黑体" w:eastAsia="黑体"/>
    </w:rPr>
  </w:style>
  <w:style w:type="table" w:customStyle="1" w:styleId="272">
    <w:name w:val="Normal Grid"/>
    <w:basedOn w:val="31"/>
    <w:qFormat/>
    <w:uiPriority w:val="39"/>
    <w:pPr>
      <w:spacing w:after="0" w:line="240" w:lineRule="auto"/>
    </w:pPr>
    <w:tblPr>
      <w:tblCellMar>
        <w:top w:w="80" w:type="dxa"/>
        <w:left w:w="160" w:type="dxa"/>
        <w:bottom w:w="80" w:type="dxa"/>
        <w:right w:w="160" w:type="dxa"/>
      </w:tblCellMar>
    </w:tblPr>
  </w:style>
  <w:style w:type="table" w:customStyle="1" w:styleId="273">
    <w:name w:val="Table Normal11"/>
    <w:basedOn w:val="31"/>
    <w:qFormat/>
    <w:uiPriority w:val="0"/>
    <w:rPr>
      <w:rFonts w:ascii="Times New Roman" w:hAnsi="Times New Roman" w:eastAsia="Times New Roman"/>
    </w:rPr>
    <w:tblPr>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5.png"/><Relationship Id="rId25" Type="http://schemas.openxmlformats.org/officeDocument/2006/relationships/image" Target="media/image4.png"/><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B3C895CBA2E4C0FBFCFA5AA0A523285"/>
        <w:style w:val=""/>
        <w:category>
          <w:name w:val="常规"/>
          <w:gallery w:val="placeholder"/>
        </w:category>
        <w:types>
          <w:type w:val="bbPlcHdr"/>
        </w:types>
        <w:behaviors>
          <w:behavior w:val="content"/>
        </w:behaviors>
        <w:description w:val=""/>
        <w:guid w:val="{C6C89C4D-CC8D-40AD-AF1E-F2114271961B}"/>
      </w:docPartPr>
      <w:docPartBody>
        <w:p w14:paraId="300F6A40">
          <w:pPr>
            <w:pStyle w:val="5"/>
          </w:pPr>
          <w:r>
            <w:rPr>
              <w:rStyle w:val="4"/>
              <w:rFonts w:hint="eastAsia"/>
            </w:rPr>
            <w:t>单击或点击此处输入文字。</w:t>
          </w:r>
        </w:p>
      </w:docPartBody>
    </w:docPart>
    <w:docPart>
      <w:docPartPr>
        <w:name w:val="2AD2D8C07FBB4A14883CE3E7D5331195"/>
        <w:style w:val=""/>
        <w:category>
          <w:name w:val="常规"/>
          <w:gallery w:val="placeholder"/>
        </w:category>
        <w:types>
          <w:type w:val="bbPlcHdr"/>
        </w:types>
        <w:behaviors>
          <w:behavior w:val="content"/>
        </w:behaviors>
        <w:description w:val=""/>
        <w:guid w:val="{7303FDB2-874F-4743-AACC-D0AD98DDD834}"/>
      </w:docPartPr>
      <w:docPartBody>
        <w:p w14:paraId="1402877A">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47F"/>
    <w:rsid w:val="000124D6"/>
    <w:rsid w:val="00062CEA"/>
    <w:rsid w:val="00085641"/>
    <w:rsid w:val="00090B16"/>
    <w:rsid w:val="000B2A4E"/>
    <w:rsid w:val="000B6DCC"/>
    <w:rsid w:val="000E4AA3"/>
    <w:rsid w:val="00147A9B"/>
    <w:rsid w:val="00166828"/>
    <w:rsid w:val="00181203"/>
    <w:rsid w:val="0018276E"/>
    <w:rsid w:val="00194634"/>
    <w:rsid w:val="001B32E5"/>
    <w:rsid w:val="001D35B4"/>
    <w:rsid w:val="00200E61"/>
    <w:rsid w:val="00220341"/>
    <w:rsid w:val="00225CB1"/>
    <w:rsid w:val="0029111B"/>
    <w:rsid w:val="00293EEF"/>
    <w:rsid w:val="002A5069"/>
    <w:rsid w:val="00302084"/>
    <w:rsid w:val="00326348"/>
    <w:rsid w:val="003421DA"/>
    <w:rsid w:val="003648F2"/>
    <w:rsid w:val="00367F3F"/>
    <w:rsid w:val="00480B83"/>
    <w:rsid w:val="004902AD"/>
    <w:rsid w:val="004A7503"/>
    <w:rsid w:val="004B647F"/>
    <w:rsid w:val="00505ADF"/>
    <w:rsid w:val="00512435"/>
    <w:rsid w:val="00554339"/>
    <w:rsid w:val="00574273"/>
    <w:rsid w:val="005C1354"/>
    <w:rsid w:val="005D4A7D"/>
    <w:rsid w:val="005E6E11"/>
    <w:rsid w:val="005F3E12"/>
    <w:rsid w:val="0060296D"/>
    <w:rsid w:val="00656B71"/>
    <w:rsid w:val="00690A23"/>
    <w:rsid w:val="006F0A3C"/>
    <w:rsid w:val="006F450E"/>
    <w:rsid w:val="0071729B"/>
    <w:rsid w:val="00721EFC"/>
    <w:rsid w:val="00723B83"/>
    <w:rsid w:val="00736E04"/>
    <w:rsid w:val="00753E34"/>
    <w:rsid w:val="007C2B0C"/>
    <w:rsid w:val="007D5D2C"/>
    <w:rsid w:val="007F6B2E"/>
    <w:rsid w:val="007F6D26"/>
    <w:rsid w:val="008160E0"/>
    <w:rsid w:val="00834A36"/>
    <w:rsid w:val="008646FD"/>
    <w:rsid w:val="00864E09"/>
    <w:rsid w:val="008B422D"/>
    <w:rsid w:val="008D766A"/>
    <w:rsid w:val="008E1617"/>
    <w:rsid w:val="009067C9"/>
    <w:rsid w:val="009639BB"/>
    <w:rsid w:val="00970F56"/>
    <w:rsid w:val="0097136E"/>
    <w:rsid w:val="00972657"/>
    <w:rsid w:val="009A50F0"/>
    <w:rsid w:val="009E2D43"/>
    <w:rsid w:val="009F05FC"/>
    <w:rsid w:val="00A14C97"/>
    <w:rsid w:val="00A16EBA"/>
    <w:rsid w:val="00A63E2C"/>
    <w:rsid w:val="00A748CD"/>
    <w:rsid w:val="00A8690A"/>
    <w:rsid w:val="00A960D1"/>
    <w:rsid w:val="00AB7C56"/>
    <w:rsid w:val="00AD7F64"/>
    <w:rsid w:val="00AF35AF"/>
    <w:rsid w:val="00AF40D6"/>
    <w:rsid w:val="00B01758"/>
    <w:rsid w:val="00B22BDD"/>
    <w:rsid w:val="00B754D7"/>
    <w:rsid w:val="00B8015D"/>
    <w:rsid w:val="00BB12D0"/>
    <w:rsid w:val="00BB467A"/>
    <w:rsid w:val="00BB5D90"/>
    <w:rsid w:val="00BE37F8"/>
    <w:rsid w:val="00BE42E1"/>
    <w:rsid w:val="00C24163"/>
    <w:rsid w:val="00C32ED0"/>
    <w:rsid w:val="00C33E54"/>
    <w:rsid w:val="00C404E5"/>
    <w:rsid w:val="00C83873"/>
    <w:rsid w:val="00CC0808"/>
    <w:rsid w:val="00CC3108"/>
    <w:rsid w:val="00CF5C0D"/>
    <w:rsid w:val="00D23B95"/>
    <w:rsid w:val="00DA6B2A"/>
    <w:rsid w:val="00DD3C1A"/>
    <w:rsid w:val="00DE36B7"/>
    <w:rsid w:val="00DE55E7"/>
    <w:rsid w:val="00E26ED5"/>
    <w:rsid w:val="00E32904"/>
    <w:rsid w:val="00E34ED4"/>
    <w:rsid w:val="00E76FE7"/>
    <w:rsid w:val="00EA4B2D"/>
    <w:rsid w:val="00EB0388"/>
    <w:rsid w:val="00EB40CF"/>
    <w:rsid w:val="00EB68CD"/>
    <w:rsid w:val="00EC797F"/>
    <w:rsid w:val="00EE30BC"/>
    <w:rsid w:val="00F037EF"/>
    <w:rsid w:val="00F30960"/>
    <w:rsid w:val="00F43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8B3C895CBA2E4C0FBFCFA5AA0A52328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AD2D8C07FBB4A14883CE3E7D533119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B7A7CE-C541-4792-9496-B9F4AD6CF397}">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30</Pages>
  <Words>4524</Words>
  <Characters>5074</Characters>
  <Lines>132</Lines>
  <Paragraphs>37</Paragraphs>
  <TotalTime>3</TotalTime>
  <ScaleCrop>false</ScaleCrop>
  <LinksUpToDate>false</LinksUpToDate>
  <CharactersWithSpaces>5210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2022-09-15T07:58:00Z</dcterms:created>
  <dc:creator>nancywu</dc:creator>
  <dc:description>&lt;config cover="true" show_menu="true" version="1.0.0" doctype="SDKXY"&gt;_x000d_
&lt;/config&gt;</dc:description>
  <cp:lastModifiedBy>lenovo</cp:lastModifiedBy>
  <cp:lastPrinted>2023-08-14T02:25:00Z</cp:lastPrinted>
  <dcterms:modified xsi:type="dcterms:W3CDTF">2025-05-23T07:10:12Z</dcterms:modified>
  <dc:title>地方标准</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2052-12.1.0.21171</vt:lpwstr>
  </property>
  <property fmtid="{D5CDD505-2E9C-101B-9397-08002B2CF9AE}" pid="15" name="ICV">
    <vt:lpwstr>C428F82CD8104A0B9656273FD4C1AE5A_13</vt:lpwstr>
  </property>
  <property fmtid="{D5CDD505-2E9C-101B-9397-08002B2CF9AE}" pid="16" name="DoublePage">
    <vt:lpwstr>true</vt:lpwstr>
  </property>
  <property fmtid="{D5CDD505-2E9C-101B-9397-08002B2CF9AE}" pid="17" name="KSOTemplateDocerSaveRecord">
    <vt:lpwstr>eyJoZGlkIjoiYTgzNmUyYmYxMzY0OWYzNzQ1Y2E3OGZiNzU0OTU1M2EifQ==</vt:lpwstr>
  </property>
</Properties>
</file>