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C85A4F">
      <w:pPr>
        <w:autoSpaceDE w:val="0"/>
        <w:autoSpaceDN w:val="0"/>
        <w:rPr>
          <w:rFonts w:hint="eastAsia"/>
          <w:szCs w:val="32"/>
        </w:rPr>
      </w:pPr>
    </w:p>
    <w:p w14:paraId="51060F69">
      <w:pPr>
        <w:autoSpaceDE w:val="0"/>
        <w:autoSpaceDN w:val="0"/>
        <w:rPr>
          <w:rFonts w:hint="eastAsia"/>
          <w:szCs w:val="32"/>
        </w:rPr>
      </w:pPr>
    </w:p>
    <w:p w14:paraId="79ECA463">
      <w:pPr>
        <w:autoSpaceDE w:val="0"/>
        <w:autoSpaceDN w:val="0"/>
        <w:rPr>
          <w:rFonts w:hint="eastAsia"/>
          <w:szCs w:val="32"/>
        </w:rPr>
      </w:pPr>
    </w:p>
    <w:p w14:paraId="7DBAF406">
      <w:pPr>
        <w:autoSpaceDE w:val="0"/>
        <w:autoSpaceDN w:val="0"/>
        <w:rPr>
          <w:rFonts w:hint="eastAsia"/>
          <w:szCs w:val="32"/>
        </w:rPr>
      </w:pPr>
    </w:p>
    <w:p w14:paraId="77A5A687">
      <w:pPr>
        <w:autoSpaceDE w:val="0"/>
        <w:autoSpaceDN w:val="0"/>
        <w:rPr>
          <w:rFonts w:hint="eastAsia"/>
          <w:szCs w:val="32"/>
        </w:rPr>
      </w:pPr>
      <w:bookmarkStart w:id="4" w:name="_GoBack"/>
      <w:bookmarkEnd w:id="4"/>
    </w:p>
    <w:p w14:paraId="5175F1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900" w:lineRule="exact"/>
        <w:textAlignment w:val="auto"/>
        <w:rPr>
          <w:rFonts w:hint="eastAsia"/>
          <w:szCs w:val="32"/>
        </w:rPr>
      </w:pPr>
    </w:p>
    <w:p w14:paraId="751DA8CC">
      <w:pPr>
        <w:autoSpaceDE w:val="0"/>
        <w:autoSpaceDN w:val="0"/>
        <w:spacing w:line="120" w:lineRule="auto"/>
        <w:ind w:firstLine="2496" w:firstLineChars="800"/>
        <w:jc w:val="both"/>
        <w:rPr>
          <w:rFonts w:hint="eastAsia" w:ascii="仿宋_GB2312"/>
          <w:bCs/>
          <w:sz w:val="32"/>
          <w:szCs w:val="32"/>
        </w:rPr>
      </w:pPr>
      <w:bookmarkStart w:id="0" w:name="fawenjiguandaizi"/>
      <w:r>
        <w:rPr>
          <w:rFonts w:hint="default" w:ascii="仿宋_GB2312" w:hAnsi="仿宋_GB2312" w:eastAsia="仿宋_GB2312" w:cs="仿宋_GB2312"/>
          <w:bCs/>
          <w:sz w:val="32"/>
          <w:szCs w:val="32"/>
        </w:rPr>
        <w:t>鄂建审告</w:t>
      </w:r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〔</w:t>
      </w:r>
      <w:bookmarkStart w:id="1" w:name="nianfen"/>
      <w:r>
        <w:rPr>
          <w:rFonts w:hint="default" w:ascii="仿宋_GB2312" w:hAnsi="仿宋_GB2312" w:eastAsia="仿宋_GB2312" w:cs="仿宋_GB2312"/>
          <w:bCs/>
          <w:sz w:val="32"/>
          <w:szCs w:val="32"/>
        </w:rPr>
        <w:t>2025</w:t>
      </w:r>
      <w:bookmarkEnd w:id="1"/>
      <w:r>
        <w:rPr>
          <w:rFonts w:hint="eastAsia" w:ascii="仿宋_GB2312" w:hAnsi="仿宋_GB2312" w:eastAsia="仿宋_GB2312" w:cs="仿宋_GB2312"/>
          <w:bCs/>
          <w:sz w:val="32"/>
          <w:szCs w:val="32"/>
        </w:rPr>
        <w:t>〕</w:t>
      </w:r>
      <w:bookmarkStart w:id="2" w:name="fawenshunxuhao"/>
      <w:r>
        <w:rPr>
          <w:rFonts w:hint="default" w:ascii="仿宋_GB2312" w:hAnsi="仿宋_GB2312" w:eastAsia="仿宋_GB2312" w:cs="仿宋_GB2312"/>
          <w:bCs/>
          <w:sz w:val="32"/>
          <w:szCs w:val="32"/>
        </w:rPr>
        <w:t>448</w:t>
      </w:r>
      <w:bookmarkEnd w:id="2"/>
      <w:r>
        <w:rPr>
          <w:rFonts w:hint="eastAsia" w:ascii="仿宋_GB2312" w:hAnsi="仿宋_GB2312" w:eastAsia="仿宋_GB2312" w:cs="仿宋_GB2312"/>
          <w:bCs/>
          <w:sz w:val="32"/>
          <w:szCs w:val="32"/>
        </w:rPr>
        <w:t>号</w:t>
      </w:r>
    </w:p>
    <w:p w14:paraId="64CF5BF7">
      <w:pPr>
        <w:autoSpaceDE w:val="0"/>
        <w:autoSpaceDN w:val="0"/>
        <w:adjustRightInd w:val="0"/>
        <w:spacing w:line="860" w:lineRule="exact"/>
        <w:jc w:val="both"/>
        <w:rPr>
          <w:rFonts w:hint="eastAsia" w:ascii="宋体" w:hAnsi="宋体" w:eastAsia="宋体"/>
          <w:b/>
          <w:bCs/>
          <w:sz w:val="44"/>
          <w:szCs w:val="44"/>
        </w:rPr>
      </w:pPr>
    </w:p>
    <w:p w14:paraId="07C8B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ascii="方正小标宋_GBK" w:hAnsi="方正小标宋_GBK" w:eastAsia="方正小标宋_GBK" w:cs="方正小标宋_GBK"/>
          <w:sz w:val="44"/>
          <w:szCs w:val="44"/>
        </w:rPr>
      </w:pPr>
      <w:bookmarkStart w:id="3" w:name="zhengwen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关于核准的工程监理企业名单的公告</w:t>
      </w:r>
    </w:p>
    <w:p w14:paraId="478E360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</w:pPr>
    </w:p>
    <w:p w14:paraId="73FD0E19"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after="0" w:line="560" w:lineRule="exact"/>
        <w:ind w:firstLine="624" w:firstLineChars="200"/>
        <w:textAlignment w:val="auto"/>
        <w:rPr>
          <w:rFonts w:ascii="仿宋_GB2312" w:hAnsi="仿宋_GB2312" w:eastAsia="仿宋_GB2312" w:cs="仿宋_GB2312"/>
          <w:b w:val="0"/>
          <w:color w:val="000000"/>
          <w:kern w:val="0"/>
        </w:rPr>
      </w:pP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根据《中华人民共和国行政许可法》《</w:t>
      </w:r>
      <w:r>
        <w:rPr>
          <w:rFonts w:ascii="仿宋_GB2312" w:hAnsi="仿宋_GB2312" w:eastAsia="仿宋_GB2312" w:cs="仿宋_GB2312"/>
          <w:b w:val="0"/>
          <w:color w:val="000000"/>
          <w:kern w:val="0"/>
        </w:rPr>
        <w:t>工程监理企业资质管理规定</w:t>
      </w: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》</w:t>
      </w:r>
      <w:r>
        <w:rPr>
          <w:rFonts w:ascii="仿宋_GB2312" w:hAnsi="仿宋_GB2312" w:eastAsia="仿宋_GB2312" w:cs="仿宋_GB2312"/>
          <w:b w:val="0"/>
          <w:color w:val="000000"/>
          <w:kern w:val="0"/>
        </w:rPr>
        <w:t>（建设部令第158号）和有关文件规定</w:t>
      </w: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，现将委托市（州）住建主管部门审查、我厅核准的工程监理企业名单予以公布。</w:t>
      </w:r>
    </w:p>
    <w:p w14:paraId="4859E712"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after="0" w:line="560" w:lineRule="exact"/>
        <w:ind w:firstLine="624" w:firstLineChars="200"/>
        <w:textAlignment w:val="auto"/>
        <w:rPr>
          <w:rFonts w:ascii="仿宋_GB2312" w:hAnsi="仿宋_GB2312" w:eastAsia="仿宋_GB2312" w:cs="仿宋_GB2312"/>
          <w:b w:val="0"/>
          <w:color w:val="000000"/>
          <w:kern w:val="0"/>
        </w:rPr>
      </w:pP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特此公告。</w:t>
      </w:r>
    </w:p>
    <w:p w14:paraId="3F271C7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</w:pPr>
    </w:p>
    <w:p w14:paraId="054D425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附件：核准的工程监理企业名单</w:t>
      </w:r>
    </w:p>
    <w:p w14:paraId="0329A45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ascii="仿宋" w:hAnsi="仿宋" w:eastAsia="仿宋" w:cs="仿宋"/>
          <w:color w:val="000000"/>
          <w:kern w:val="0"/>
          <w:szCs w:val="32"/>
        </w:rPr>
      </w:pPr>
    </w:p>
    <w:p w14:paraId="6246075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ascii="仿宋" w:hAnsi="仿宋" w:eastAsia="仿宋"/>
          <w:color w:val="000000"/>
          <w:kern w:val="0"/>
          <w:szCs w:val="32"/>
        </w:rPr>
      </w:pPr>
    </w:p>
    <w:p w14:paraId="4DBAFAB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hint="eastAsia" w:ascii="仿宋" w:hAnsi="仿宋" w:eastAsia="仿宋"/>
          <w:color w:val="000000"/>
          <w:kern w:val="0"/>
          <w:szCs w:val="32"/>
        </w:rPr>
        <w:t xml:space="preserve">                        </w:t>
      </w:r>
      <w:r>
        <w:rPr>
          <w:rFonts w:hint="eastAsia" w:ascii="仿宋" w:hAnsi="仿宋" w:eastAsia="仿宋"/>
          <w:color w:val="000000"/>
          <w:kern w:val="0"/>
          <w:szCs w:val="32"/>
          <w:lang w:val="en-US" w:eastAsia="zh-CN"/>
        </w:rPr>
        <w:t xml:space="preserve">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湖北省住房和城乡建设厅</w:t>
      </w:r>
    </w:p>
    <w:p w14:paraId="65400E9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                     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 xml:space="preserve">  </w:t>
      </w: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 xml:space="preserve"> </w:t>
      </w: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20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年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月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日</w:t>
      </w:r>
    </w:p>
    <w:p w14:paraId="3310D9B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ascii="黑体" w:hAnsi="黑体" w:eastAsia="黑体" w:cs="黑体"/>
          <w:color w:val="000000"/>
          <w:kern w:val="0"/>
          <w:szCs w:val="32"/>
        </w:rPr>
      </w:pPr>
    </w:p>
    <w:p w14:paraId="18F29000">
      <w:pPr>
        <w:spacing w:line="560" w:lineRule="exact"/>
        <w:rPr>
          <w:rFonts w:ascii="黑体" w:hAnsi="黑体" w:eastAsia="黑体" w:cs="黑体"/>
          <w:color w:val="000000"/>
          <w:kern w:val="0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Cs w:val="32"/>
        </w:rPr>
        <w:t>附件</w:t>
      </w:r>
    </w:p>
    <w:p w14:paraId="521E5348">
      <w:pPr>
        <w:spacing w:line="200" w:lineRule="exact"/>
        <w:rPr>
          <w:rFonts w:ascii="黑体" w:hAnsi="黑体" w:eastAsia="黑体" w:cs="黑体"/>
          <w:color w:val="000000"/>
          <w:kern w:val="0"/>
          <w:szCs w:val="32"/>
        </w:rPr>
      </w:pPr>
    </w:p>
    <w:p w14:paraId="33568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核准的工程监理企业名单</w:t>
      </w:r>
    </w:p>
    <w:tbl>
      <w:tblPr>
        <w:tblStyle w:val="6"/>
        <w:tblW w:w="100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4126"/>
        <w:gridCol w:w="5095"/>
      </w:tblGrid>
      <w:tr w14:paraId="74174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164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Ansi="黑体" w:eastAsia="黑体"/>
                <w:kern w:val="0"/>
                <w:szCs w:val="32"/>
              </w:rPr>
              <w:t>序号</w:t>
            </w:r>
          </w:p>
        </w:tc>
        <w:tc>
          <w:tcPr>
            <w:tcW w:w="4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8A43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Ansi="黑体" w:eastAsia="黑体"/>
                <w:kern w:val="0"/>
                <w:szCs w:val="32"/>
              </w:rPr>
              <w:t>企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业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名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称</w:t>
            </w:r>
          </w:p>
        </w:tc>
        <w:tc>
          <w:tcPr>
            <w:tcW w:w="5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C09F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int="eastAsia" w:hAnsi="黑体" w:eastAsia="黑体"/>
                <w:kern w:val="0"/>
                <w:szCs w:val="32"/>
              </w:rPr>
              <w:t>核准类别及等级</w:t>
            </w:r>
          </w:p>
        </w:tc>
      </w:tr>
      <w:tr w14:paraId="667B7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00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14B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武汉市</w:t>
            </w:r>
          </w:p>
        </w:tc>
      </w:tr>
      <w:tr w14:paraId="44C6E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D470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4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A844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湖北特智邦消防工程有限公司</w:t>
            </w:r>
          </w:p>
        </w:tc>
        <w:tc>
          <w:tcPr>
            <w:tcW w:w="5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052D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首次申请：专业资质房屋建筑工程乙级、专业资质电力工程乙级、专业资质市政公用工程乙级</w:t>
            </w:r>
          </w:p>
        </w:tc>
      </w:tr>
      <w:tr w14:paraId="49EB2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7A9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4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5A2B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湖北省招标股份有限公司</w:t>
            </w:r>
          </w:p>
        </w:tc>
        <w:tc>
          <w:tcPr>
            <w:tcW w:w="5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98A8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首次申请：专业资质房屋建筑工程乙级、专业资质市政公用工程乙级</w:t>
            </w:r>
          </w:p>
        </w:tc>
      </w:tr>
      <w:tr w14:paraId="78933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00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F26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襄阳市</w:t>
            </w:r>
          </w:p>
        </w:tc>
      </w:tr>
      <w:tr w14:paraId="4A7E8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9BC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4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FAAA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湖北利民建设工程咨询有限公司</w:t>
            </w:r>
          </w:p>
        </w:tc>
        <w:tc>
          <w:tcPr>
            <w:tcW w:w="5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779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增项：专业资质电力工程乙级、专业资质机电安装工程乙级</w:t>
            </w:r>
          </w:p>
        </w:tc>
      </w:tr>
      <w:tr w14:paraId="3EC18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00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FF58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default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宜昌市</w:t>
            </w:r>
          </w:p>
        </w:tc>
      </w:tr>
      <w:tr w14:paraId="1D8F1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D872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4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F8F4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平安建设管理（湖北）有限公司</w:t>
            </w:r>
          </w:p>
        </w:tc>
        <w:tc>
          <w:tcPr>
            <w:tcW w:w="5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A90F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增项：专业资质化工石油工程乙级、专业资质机电安装工程乙级</w:t>
            </w:r>
          </w:p>
        </w:tc>
      </w:tr>
      <w:tr w14:paraId="4157D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A798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4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585D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湖北桦成项目管理有限公司</w:t>
            </w:r>
          </w:p>
        </w:tc>
        <w:tc>
          <w:tcPr>
            <w:tcW w:w="5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78EE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首次申请：专业资质房屋建筑工程乙级、专业资质市政公用工程乙级</w:t>
            </w:r>
          </w:p>
        </w:tc>
      </w:tr>
      <w:tr w14:paraId="100C4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21EF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4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C22A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湖北省智中工程咨询有限公司</w:t>
            </w:r>
          </w:p>
        </w:tc>
        <w:tc>
          <w:tcPr>
            <w:tcW w:w="5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6604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首次申请：专业资质房屋建筑工程乙级、专业资质市政公用工程乙级</w:t>
            </w:r>
          </w:p>
        </w:tc>
      </w:tr>
      <w:tr w14:paraId="1D01E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B2C5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4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95CA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湖北灼宜工程项目管理有限公司</w:t>
            </w:r>
          </w:p>
        </w:tc>
        <w:tc>
          <w:tcPr>
            <w:tcW w:w="5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901C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增项：专业资质电力工程乙级、专业资质机电安装工程乙级</w:t>
            </w:r>
          </w:p>
        </w:tc>
      </w:tr>
      <w:tr w14:paraId="4CDAD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00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6F8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孝感市</w:t>
            </w:r>
          </w:p>
        </w:tc>
      </w:tr>
      <w:tr w14:paraId="3FF08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873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8</w:t>
            </w:r>
          </w:p>
        </w:tc>
        <w:tc>
          <w:tcPr>
            <w:tcW w:w="4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4B3F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大悟县礼山工程咨询设计有限责任公司</w:t>
            </w:r>
          </w:p>
        </w:tc>
        <w:tc>
          <w:tcPr>
            <w:tcW w:w="5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7082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首次申请：专业资质房屋建筑工程乙级、专业资质电力工程乙级、专业资质市政公用工程乙级、专业资质机电安装工程乙级</w:t>
            </w:r>
          </w:p>
        </w:tc>
      </w:tr>
      <w:bookmarkEnd w:id="3"/>
    </w:tbl>
    <w:p w14:paraId="50D4C6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exact"/>
        <w:textAlignment w:val="auto"/>
      </w:pPr>
    </w:p>
    <w:sectPr>
      <w:headerReference r:id="rId3" w:type="first"/>
      <w:footerReference r:id="rId5" w:type="first"/>
      <w:footerReference r:id="rId4" w:type="default"/>
      <w:pgSz w:w="11906" w:h="16838"/>
      <w:pgMar w:top="2098" w:right="1474" w:bottom="1984" w:left="1587" w:header="851" w:footer="1587" w:gutter="0"/>
      <w:pgNumType w:fmt="decimal"/>
      <w:cols w:space="720" w:num="1"/>
      <w:docGrid w:type="linesAndChars" w:linePitch="567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9" w:usb3="00000000" w:csb0="200001FF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公文小标宋简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33D02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1454C46C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CKLKOTSAQAAowMAAA4AAABkcnMvZTJvRG9jLnhtbK1TS27bMBDd&#10;F+gdCO5rKUb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oso5N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454C46C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4BBE7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79A216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yYzI5NjM1YmQ5ZjFhNjA5OTVjZGE2MGIzNjM5Y2MifQ=="/>
  </w:docVars>
  <w:rsids>
    <w:rsidRoot w:val="60B35E46"/>
    <w:rsid w:val="06656484"/>
    <w:rsid w:val="1D84707B"/>
    <w:rsid w:val="45E9362F"/>
    <w:rsid w:val="60B35E46"/>
    <w:rsid w:val="77769C0C"/>
    <w:rsid w:val="78066A22"/>
    <w:rsid w:val="7AFCC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unhideWhenUsed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semiHidden/>
    <w:unhideWhenUsed/>
    <w:qFormat/>
    <w:uiPriority w:val="99"/>
  </w:style>
  <w:style w:type="character" w:styleId="10">
    <w:name w:val="Hyperlink"/>
    <w:basedOn w:val="8"/>
    <w:semiHidden/>
    <w:unhideWhenUsed/>
    <w:qFormat/>
    <w:uiPriority w:val="99"/>
    <w:rPr>
      <w:rFonts w:ascii="Times New Roman" w:hAnsi="Times New Roman" w:eastAsia="宋体" w:cs="Times New Roman"/>
      <w:color w:val="0000FF"/>
      <w:u w:val="single"/>
    </w:rPr>
  </w:style>
  <w:style w:type="character" w:customStyle="1" w:styleId="11">
    <w:name w:val="标题 2 Char"/>
    <w:basedOn w:val="8"/>
    <w:link w:val="2"/>
    <w:qFormat/>
    <w:uiPriority w:val="9"/>
    <w:rPr>
      <w:rFonts w:asciiTheme="majorHAnsi" w:hAnsiTheme="majorHAnsi" w:eastAsiaTheme="majorEastAsia" w:cstheme="majorBidi"/>
      <w:b/>
      <w:bCs/>
      <w:szCs w:val="32"/>
    </w:rPr>
  </w:style>
  <w:style w:type="character" w:customStyle="1" w:styleId="12">
    <w:name w:val="页眉 Char"/>
    <w:basedOn w:val="8"/>
    <w:link w:val="4"/>
    <w:qFormat/>
    <w:uiPriority w:val="99"/>
    <w:rPr>
      <w:rFonts w:ascii="Times New Roman" w:hAnsi="Times New Roman" w:eastAsia="宋体" w:cs="Times New Roman"/>
      <w:sz w:val="18"/>
      <w:szCs w:val="20"/>
    </w:rPr>
  </w:style>
  <w:style w:type="character" w:customStyle="1" w:styleId="13">
    <w:name w:val="页脚 Char"/>
    <w:basedOn w:val="8"/>
    <w:link w:val="3"/>
    <w:qFormat/>
    <w:uiPriority w:val="99"/>
    <w:rPr>
      <w:rFonts w:ascii="Times New Roman" w:hAnsi="Times New Roman" w:eastAsia="宋体" w:cs="Times New Roman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Hewlett-Packard Company</Company>
  <Pages>2</Pages>
  <Words>562</Words>
  <Characters>573</Characters>
  <Lines>2</Lines>
  <Paragraphs>1</Paragraphs>
  <TotalTime>14</TotalTime>
  <ScaleCrop>false</ScaleCrop>
  <LinksUpToDate>false</LinksUpToDate>
  <CharactersWithSpaces>629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2023-08-06T17:37:00Z</dcterms:created>
  <dc:creator>www</dc:creator>
  <cp:lastModifiedBy>Kathy 敏</cp:lastModifiedBy>
  <cp:lastPrinted>2025-02-14T17:52:00Z</cp:lastPrinted>
  <dcterms:modified xsi:type="dcterms:W3CDTF">2025-12-17T01:25:32Z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5ED8F68D51E848299A348F52DC01E008_11</vt:lpwstr>
  </property>
  <property fmtid="{D5CDD505-2E9C-101B-9397-08002B2CF9AE}" pid="4" name="KSOTemplateDocerSaveRecord">
    <vt:lpwstr>eyJoZGlkIjoiMjk2ZGZmMzI3ZDEyZTNmYTRlYzFlYmMwODMzNWEyNjciLCJ1c2VySWQiOiI3MTQ3Nzc1MjIifQ==</vt:lpwstr>
  </property>
</Properties>
</file>